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4828" w14:textId="77777777" w:rsidR="00DB761A" w:rsidRPr="00D95FB8" w:rsidRDefault="00DB761A" w:rsidP="0074487F">
      <w:pPr>
        <w:spacing w:line="360" w:lineRule="auto"/>
        <w:rPr>
          <w:rFonts w:asciiTheme="minorHAnsi" w:hAnsiTheme="minorHAnsi" w:cstheme="minorHAnsi"/>
          <w:b/>
        </w:rPr>
      </w:pPr>
      <w:r w:rsidRPr="00D95FB8">
        <w:rPr>
          <w:rFonts w:asciiTheme="minorHAnsi" w:hAnsiTheme="minorHAnsi" w:cstheme="minorHAnsi"/>
          <w:b/>
        </w:rPr>
        <w:t>REPUBLIKA HRVATSKA</w:t>
      </w:r>
    </w:p>
    <w:p w14:paraId="33BDD417" w14:textId="77777777" w:rsidR="00DB761A" w:rsidRPr="00D95FB8" w:rsidRDefault="00DB761A" w:rsidP="0074487F">
      <w:pPr>
        <w:spacing w:line="360" w:lineRule="auto"/>
        <w:rPr>
          <w:rFonts w:asciiTheme="minorHAnsi" w:hAnsiTheme="minorHAnsi" w:cstheme="minorHAnsi"/>
          <w:b/>
        </w:rPr>
      </w:pPr>
      <w:r w:rsidRPr="00D95FB8">
        <w:rPr>
          <w:rFonts w:asciiTheme="minorHAnsi" w:hAnsiTheme="minorHAnsi" w:cstheme="minorHAnsi"/>
          <w:b/>
        </w:rPr>
        <w:t>ŽUPANIJA MEĐIMURSKA</w:t>
      </w:r>
    </w:p>
    <w:p w14:paraId="7D6E7DAE" w14:textId="77777777" w:rsidR="00962563" w:rsidRPr="00D95FB8" w:rsidRDefault="00962563" w:rsidP="0074487F">
      <w:pPr>
        <w:spacing w:line="360" w:lineRule="auto"/>
        <w:rPr>
          <w:rFonts w:asciiTheme="minorHAnsi" w:hAnsiTheme="minorHAnsi" w:cstheme="minorHAnsi"/>
          <w:b/>
        </w:rPr>
      </w:pPr>
      <w:r w:rsidRPr="00D95FB8">
        <w:rPr>
          <w:rFonts w:asciiTheme="minorHAnsi" w:hAnsiTheme="minorHAnsi" w:cstheme="minorHAnsi"/>
          <w:b/>
        </w:rPr>
        <w:t xml:space="preserve">UMJETNIČKA ŠKOLA </w:t>
      </w:r>
    </w:p>
    <w:p w14:paraId="147E3A9E" w14:textId="69BC7201" w:rsidR="00DB761A" w:rsidRPr="00D95FB8" w:rsidRDefault="00962563" w:rsidP="0074487F">
      <w:pPr>
        <w:spacing w:line="360" w:lineRule="auto"/>
        <w:rPr>
          <w:rFonts w:asciiTheme="minorHAnsi" w:hAnsiTheme="minorHAnsi" w:cstheme="minorHAnsi"/>
          <w:b/>
        </w:rPr>
      </w:pPr>
      <w:r w:rsidRPr="00D95FB8">
        <w:rPr>
          <w:rFonts w:asciiTheme="minorHAnsi" w:hAnsiTheme="minorHAnsi" w:cstheme="minorHAnsi"/>
          <w:b/>
        </w:rPr>
        <w:t>MIROSLAV MAGDALENIĆ ČAKOVEC</w:t>
      </w:r>
    </w:p>
    <w:p w14:paraId="6D25877E" w14:textId="55AE6080" w:rsidR="0006244D" w:rsidRPr="00D95FB8" w:rsidRDefault="00962563" w:rsidP="0074487F">
      <w:pPr>
        <w:spacing w:line="360" w:lineRule="auto"/>
        <w:rPr>
          <w:rFonts w:asciiTheme="minorHAnsi" w:hAnsiTheme="minorHAnsi" w:cstheme="minorHAnsi"/>
        </w:rPr>
      </w:pPr>
      <w:r w:rsidRPr="00D95FB8">
        <w:rPr>
          <w:rFonts w:asciiTheme="minorHAnsi" w:hAnsiTheme="minorHAnsi" w:cstheme="minorHAnsi"/>
        </w:rPr>
        <w:t>Vladimira Nazora 14</w:t>
      </w:r>
      <w:r w:rsidR="0074487F">
        <w:rPr>
          <w:rFonts w:asciiTheme="minorHAnsi" w:hAnsiTheme="minorHAnsi" w:cstheme="minorHAnsi"/>
        </w:rPr>
        <w:t xml:space="preserve">, </w:t>
      </w:r>
      <w:r w:rsidRPr="00D95FB8">
        <w:rPr>
          <w:rFonts w:asciiTheme="minorHAnsi" w:hAnsiTheme="minorHAnsi" w:cstheme="minorHAnsi"/>
        </w:rPr>
        <w:t>Čakovec</w:t>
      </w:r>
    </w:p>
    <w:p w14:paraId="26A7A22F" w14:textId="0E87E5A0" w:rsidR="00DB761A" w:rsidRPr="00393B35" w:rsidRDefault="002F5ABA" w:rsidP="0074487F">
      <w:pPr>
        <w:spacing w:line="360" w:lineRule="auto"/>
        <w:rPr>
          <w:rFonts w:asciiTheme="minorHAnsi" w:hAnsiTheme="minorHAnsi" w:cstheme="minorHAnsi"/>
        </w:rPr>
      </w:pPr>
      <w:r w:rsidRPr="00393B35">
        <w:rPr>
          <w:rFonts w:asciiTheme="minorHAnsi" w:hAnsiTheme="minorHAnsi" w:cstheme="minorHAnsi"/>
        </w:rPr>
        <w:t>KLASA: 400-02/2</w:t>
      </w:r>
      <w:r w:rsidR="00393B35">
        <w:rPr>
          <w:rFonts w:asciiTheme="minorHAnsi" w:hAnsiTheme="minorHAnsi" w:cstheme="minorHAnsi"/>
        </w:rPr>
        <w:t>6</w:t>
      </w:r>
      <w:r w:rsidRPr="00393B35">
        <w:rPr>
          <w:rFonts w:asciiTheme="minorHAnsi" w:hAnsiTheme="minorHAnsi" w:cstheme="minorHAnsi"/>
        </w:rPr>
        <w:t>-01/03</w:t>
      </w:r>
    </w:p>
    <w:p w14:paraId="2C69A5A8" w14:textId="3A70A8D4" w:rsidR="00A37C89" w:rsidRPr="00393B35" w:rsidRDefault="002F5ABA" w:rsidP="0074487F">
      <w:pPr>
        <w:spacing w:line="360" w:lineRule="auto"/>
        <w:rPr>
          <w:rFonts w:asciiTheme="minorHAnsi" w:hAnsiTheme="minorHAnsi" w:cstheme="minorHAnsi"/>
        </w:rPr>
      </w:pPr>
      <w:r w:rsidRPr="00393B35">
        <w:rPr>
          <w:rFonts w:asciiTheme="minorHAnsi" w:hAnsiTheme="minorHAnsi" w:cstheme="minorHAnsi"/>
        </w:rPr>
        <w:t>URBROJ: 2109-</w:t>
      </w:r>
      <w:r w:rsidR="001D577D" w:rsidRPr="00393B35">
        <w:rPr>
          <w:rFonts w:asciiTheme="minorHAnsi" w:hAnsiTheme="minorHAnsi" w:cstheme="minorHAnsi"/>
        </w:rPr>
        <w:t>50</w:t>
      </w:r>
      <w:r w:rsidRPr="00393B35">
        <w:rPr>
          <w:rFonts w:asciiTheme="minorHAnsi" w:hAnsiTheme="minorHAnsi" w:cstheme="minorHAnsi"/>
        </w:rPr>
        <w:t>-2</w:t>
      </w:r>
      <w:r w:rsidR="00393B35">
        <w:rPr>
          <w:rFonts w:asciiTheme="minorHAnsi" w:hAnsiTheme="minorHAnsi" w:cstheme="minorHAnsi"/>
        </w:rPr>
        <w:t>6</w:t>
      </w:r>
      <w:r w:rsidR="00DB761A" w:rsidRPr="00393B35">
        <w:rPr>
          <w:rFonts w:asciiTheme="minorHAnsi" w:hAnsiTheme="minorHAnsi" w:cstheme="minorHAnsi"/>
        </w:rPr>
        <w:t>-</w:t>
      </w:r>
      <w:r w:rsidR="00393B35">
        <w:rPr>
          <w:rFonts w:asciiTheme="minorHAnsi" w:hAnsiTheme="minorHAnsi" w:cstheme="minorHAnsi"/>
        </w:rPr>
        <w:t>2</w:t>
      </w:r>
    </w:p>
    <w:p w14:paraId="6C04DE18" w14:textId="5E531A3F" w:rsidR="00A37C89" w:rsidRDefault="00A37C89" w:rsidP="0074487F">
      <w:pPr>
        <w:spacing w:line="360" w:lineRule="auto"/>
        <w:rPr>
          <w:rFonts w:asciiTheme="minorHAnsi" w:hAnsiTheme="minorHAnsi" w:cstheme="minorHAnsi"/>
        </w:rPr>
      </w:pPr>
    </w:p>
    <w:p w14:paraId="3522C81E" w14:textId="77777777" w:rsidR="001F3081" w:rsidRPr="00D95FB8" w:rsidRDefault="001F3081" w:rsidP="0074487F">
      <w:pPr>
        <w:spacing w:line="360" w:lineRule="auto"/>
        <w:rPr>
          <w:rFonts w:asciiTheme="minorHAnsi" w:hAnsiTheme="minorHAnsi" w:cstheme="minorHAnsi"/>
        </w:rPr>
      </w:pPr>
    </w:p>
    <w:p w14:paraId="6C7D83B9" w14:textId="2DB5FFDA" w:rsidR="00A37C89" w:rsidRPr="00D95FB8" w:rsidRDefault="00A37C89" w:rsidP="0074487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95FB8">
        <w:rPr>
          <w:rFonts w:asciiTheme="minorHAnsi" w:hAnsiTheme="minorHAnsi" w:cstheme="minorHAnsi"/>
          <w:b/>
        </w:rPr>
        <w:t>OBRAZLOŽENJE</w:t>
      </w:r>
      <w:r w:rsidR="00176A4B">
        <w:rPr>
          <w:rFonts w:asciiTheme="minorHAnsi" w:hAnsiTheme="minorHAnsi" w:cstheme="minorHAnsi"/>
          <w:b/>
        </w:rPr>
        <w:t xml:space="preserve"> IZVJEŠTAJA O</w:t>
      </w:r>
      <w:r w:rsidRPr="00D95FB8">
        <w:rPr>
          <w:rFonts w:asciiTheme="minorHAnsi" w:hAnsiTheme="minorHAnsi" w:cstheme="minorHAnsi"/>
          <w:b/>
        </w:rPr>
        <w:t xml:space="preserve"> IZ</w:t>
      </w:r>
      <w:r w:rsidR="00DB761A" w:rsidRPr="00D95FB8">
        <w:rPr>
          <w:rFonts w:asciiTheme="minorHAnsi" w:hAnsiTheme="minorHAnsi" w:cstheme="minorHAnsi"/>
          <w:b/>
        </w:rPr>
        <w:t>VRŠENJ</w:t>
      </w:r>
      <w:r w:rsidR="00176A4B">
        <w:rPr>
          <w:rFonts w:asciiTheme="minorHAnsi" w:hAnsiTheme="minorHAnsi" w:cstheme="minorHAnsi"/>
          <w:b/>
        </w:rPr>
        <w:t>U</w:t>
      </w:r>
      <w:r w:rsidR="00DB761A" w:rsidRPr="00D95FB8">
        <w:rPr>
          <w:rFonts w:asciiTheme="minorHAnsi" w:hAnsiTheme="minorHAnsi" w:cstheme="minorHAnsi"/>
          <w:b/>
        </w:rPr>
        <w:t xml:space="preserve"> FINANCIJSKOG PLANA </w:t>
      </w:r>
      <w:r w:rsidR="00962563" w:rsidRPr="00D95FB8">
        <w:rPr>
          <w:rFonts w:asciiTheme="minorHAnsi" w:hAnsiTheme="minorHAnsi" w:cstheme="minorHAnsi"/>
          <w:b/>
        </w:rPr>
        <w:t>UMJETNIČKE ŠKOLE MIROSLAV MAGDALENIĆ ČAKOVEC</w:t>
      </w:r>
      <w:r w:rsidR="009B322A" w:rsidRPr="00D95FB8">
        <w:rPr>
          <w:rFonts w:asciiTheme="minorHAnsi" w:hAnsiTheme="minorHAnsi" w:cstheme="minorHAnsi"/>
          <w:b/>
        </w:rPr>
        <w:t xml:space="preserve"> ZA </w:t>
      </w:r>
      <w:r w:rsidR="002F5ABA" w:rsidRPr="00D95FB8">
        <w:rPr>
          <w:rFonts w:asciiTheme="minorHAnsi" w:hAnsiTheme="minorHAnsi" w:cstheme="minorHAnsi"/>
          <w:b/>
        </w:rPr>
        <w:t>RAZDOBLJE OD 1.</w:t>
      </w:r>
      <w:r w:rsidR="006A5642">
        <w:rPr>
          <w:rFonts w:asciiTheme="minorHAnsi" w:hAnsiTheme="minorHAnsi" w:cstheme="minorHAnsi"/>
          <w:b/>
        </w:rPr>
        <w:t xml:space="preserve"> </w:t>
      </w:r>
      <w:r w:rsidR="002F5ABA" w:rsidRPr="00D95FB8">
        <w:rPr>
          <w:rFonts w:asciiTheme="minorHAnsi" w:hAnsiTheme="minorHAnsi" w:cstheme="minorHAnsi"/>
          <w:b/>
        </w:rPr>
        <w:t>1.</w:t>
      </w:r>
      <w:r w:rsidR="006A5642">
        <w:rPr>
          <w:rFonts w:asciiTheme="minorHAnsi" w:hAnsiTheme="minorHAnsi" w:cstheme="minorHAnsi"/>
          <w:b/>
        </w:rPr>
        <w:t xml:space="preserve"> </w:t>
      </w:r>
      <w:r w:rsidR="002F5ABA" w:rsidRPr="00D95FB8">
        <w:rPr>
          <w:rFonts w:asciiTheme="minorHAnsi" w:hAnsiTheme="minorHAnsi" w:cstheme="minorHAnsi"/>
          <w:b/>
        </w:rPr>
        <w:t>202</w:t>
      </w:r>
      <w:r w:rsidR="009648D6">
        <w:rPr>
          <w:rFonts w:asciiTheme="minorHAnsi" w:hAnsiTheme="minorHAnsi" w:cstheme="minorHAnsi"/>
          <w:b/>
        </w:rPr>
        <w:t>5</w:t>
      </w:r>
      <w:r w:rsidR="002F5ABA" w:rsidRPr="00D95FB8">
        <w:rPr>
          <w:rFonts w:asciiTheme="minorHAnsi" w:hAnsiTheme="minorHAnsi" w:cstheme="minorHAnsi"/>
          <w:b/>
        </w:rPr>
        <w:t>. DO 3</w:t>
      </w:r>
      <w:r w:rsidR="00605109">
        <w:rPr>
          <w:rFonts w:asciiTheme="minorHAnsi" w:hAnsiTheme="minorHAnsi" w:cstheme="minorHAnsi"/>
          <w:b/>
        </w:rPr>
        <w:t>1</w:t>
      </w:r>
      <w:r w:rsidR="002F5ABA" w:rsidRPr="00D95FB8">
        <w:rPr>
          <w:rFonts w:asciiTheme="minorHAnsi" w:hAnsiTheme="minorHAnsi" w:cstheme="minorHAnsi"/>
          <w:b/>
        </w:rPr>
        <w:t>.</w:t>
      </w:r>
      <w:r w:rsidR="006A5642">
        <w:rPr>
          <w:rFonts w:asciiTheme="minorHAnsi" w:hAnsiTheme="minorHAnsi" w:cstheme="minorHAnsi"/>
          <w:b/>
        </w:rPr>
        <w:t xml:space="preserve"> </w:t>
      </w:r>
      <w:r w:rsidR="00605109">
        <w:rPr>
          <w:rFonts w:asciiTheme="minorHAnsi" w:hAnsiTheme="minorHAnsi" w:cstheme="minorHAnsi"/>
          <w:b/>
        </w:rPr>
        <w:t>12</w:t>
      </w:r>
      <w:r w:rsidR="002F5ABA" w:rsidRPr="00D95FB8">
        <w:rPr>
          <w:rFonts w:asciiTheme="minorHAnsi" w:hAnsiTheme="minorHAnsi" w:cstheme="minorHAnsi"/>
          <w:b/>
        </w:rPr>
        <w:t>.</w:t>
      </w:r>
      <w:r w:rsidR="006A5642">
        <w:rPr>
          <w:rFonts w:asciiTheme="minorHAnsi" w:hAnsiTheme="minorHAnsi" w:cstheme="minorHAnsi"/>
          <w:b/>
        </w:rPr>
        <w:t xml:space="preserve"> </w:t>
      </w:r>
      <w:r w:rsidR="002F5ABA" w:rsidRPr="00D95FB8">
        <w:rPr>
          <w:rFonts w:asciiTheme="minorHAnsi" w:hAnsiTheme="minorHAnsi" w:cstheme="minorHAnsi"/>
          <w:b/>
        </w:rPr>
        <w:t>202</w:t>
      </w:r>
      <w:r w:rsidR="009648D6">
        <w:rPr>
          <w:rFonts w:asciiTheme="minorHAnsi" w:hAnsiTheme="minorHAnsi" w:cstheme="minorHAnsi"/>
          <w:b/>
        </w:rPr>
        <w:t>5</w:t>
      </w:r>
      <w:r w:rsidRPr="00D95FB8">
        <w:rPr>
          <w:rFonts w:asciiTheme="minorHAnsi" w:hAnsiTheme="minorHAnsi" w:cstheme="minorHAnsi"/>
          <w:b/>
        </w:rPr>
        <w:t>.</w:t>
      </w:r>
    </w:p>
    <w:p w14:paraId="17E8D1C1" w14:textId="4E215B28" w:rsidR="00A37C89" w:rsidRPr="00D95FB8" w:rsidRDefault="00A37C89" w:rsidP="0074487F">
      <w:pPr>
        <w:spacing w:line="360" w:lineRule="auto"/>
        <w:rPr>
          <w:rFonts w:asciiTheme="minorHAnsi" w:hAnsiTheme="minorHAnsi" w:cstheme="minorHAnsi"/>
        </w:rPr>
      </w:pPr>
    </w:p>
    <w:p w14:paraId="59C3AAC9" w14:textId="3FE582C0" w:rsidR="00A37C89" w:rsidRPr="00D95FB8" w:rsidRDefault="00A37C89" w:rsidP="0074487F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D95FB8">
        <w:rPr>
          <w:rFonts w:asciiTheme="minorHAnsi" w:hAnsiTheme="minorHAnsi" w:cstheme="minorHAnsi"/>
        </w:rPr>
        <w:t>U skladu s člankom 86.</w:t>
      </w:r>
      <w:r w:rsidR="009766D9" w:rsidRPr="00D95FB8">
        <w:rPr>
          <w:rFonts w:asciiTheme="minorHAnsi" w:hAnsiTheme="minorHAnsi" w:cstheme="minorHAnsi"/>
        </w:rPr>
        <w:t xml:space="preserve"> </w:t>
      </w:r>
      <w:r w:rsidRPr="00D95FB8">
        <w:rPr>
          <w:rFonts w:asciiTheme="minorHAnsi" w:hAnsiTheme="minorHAnsi" w:cstheme="minorHAnsi"/>
        </w:rPr>
        <w:t>Zakona o proračunu</w:t>
      </w:r>
      <w:r w:rsidR="009766D9" w:rsidRPr="00D95FB8">
        <w:rPr>
          <w:rFonts w:asciiTheme="minorHAnsi" w:hAnsiTheme="minorHAnsi" w:cstheme="minorHAnsi"/>
        </w:rPr>
        <w:t xml:space="preserve"> </w:t>
      </w:r>
      <w:bookmarkStart w:id="0" w:name="_Hlk171876813"/>
      <w:r w:rsidR="009766D9" w:rsidRPr="00D95FB8">
        <w:rPr>
          <w:rFonts w:asciiTheme="minorHAnsi" w:hAnsiTheme="minorHAnsi" w:cstheme="minorHAnsi"/>
        </w:rPr>
        <w:t>(NN br.</w:t>
      </w:r>
      <w:r w:rsidR="00683B4E">
        <w:rPr>
          <w:rFonts w:asciiTheme="minorHAnsi" w:hAnsiTheme="minorHAnsi" w:cstheme="minorHAnsi"/>
        </w:rPr>
        <w:t xml:space="preserve"> </w:t>
      </w:r>
      <w:r w:rsidR="009766D9" w:rsidRPr="00D95FB8">
        <w:rPr>
          <w:rFonts w:asciiTheme="minorHAnsi" w:hAnsiTheme="minorHAnsi" w:cstheme="minorHAnsi"/>
        </w:rPr>
        <w:t>144/21)</w:t>
      </w:r>
      <w:bookmarkEnd w:id="0"/>
      <w:r w:rsidRPr="00D95FB8">
        <w:rPr>
          <w:rFonts w:asciiTheme="minorHAnsi" w:hAnsiTheme="minorHAnsi" w:cstheme="minorHAnsi"/>
        </w:rPr>
        <w:t xml:space="preserve"> </w:t>
      </w:r>
      <w:r w:rsidR="00962563" w:rsidRPr="00D95FB8">
        <w:rPr>
          <w:rFonts w:asciiTheme="minorHAnsi" w:hAnsiTheme="minorHAnsi" w:cstheme="minorHAnsi"/>
        </w:rPr>
        <w:t>te Pravilnikom</w:t>
      </w:r>
      <w:r w:rsidR="00FF7939" w:rsidRPr="00D95FB8">
        <w:rPr>
          <w:rFonts w:asciiTheme="minorHAnsi" w:hAnsiTheme="minorHAnsi" w:cstheme="minorHAnsi"/>
        </w:rPr>
        <w:t xml:space="preserve"> o polugodišnjem i godišnjem izvještaju o izvršenju proračuna i financijskog plana (NN br.</w:t>
      </w:r>
      <w:r w:rsidR="00605109">
        <w:rPr>
          <w:rFonts w:asciiTheme="minorHAnsi" w:hAnsiTheme="minorHAnsi" w:cstheme="minorHAnsi"/>
        </w:rPr>
        <w:t xml:space="preserve"> </w:t>
      </w:r>
      <w:r w:rsidR="00FF7939" w:rsidRPr="00D95FB8">
        <w:rPr>
          <w:rFonts w:asciiTheme="minorHAnsi" w:hAnsiTheme="minorHAnsi" w:cstheme="minorHAnsi"/>
        </w:rPr>
        <w:t xml:space="preserve">85/23) </w:t>
      </w:r>
      <w:r w:rsidR="00962563" w:rsidRPr="00D95FB8">
        <w:rPr>
          <w:rFonts w:asciiTheme="minorHAnsi" w:hAnsiTheme="minorHAnsi" w:cstheme="minorHAnsi"/>
        </w:rPr>
        <w:t>Umjetnička škola Miroslav Magdalenić</w:t>
      </w:r>
      <w:r w:rsidR="009766D9" w:rsidRPr="00D95FB8">
        <w:rPr>
          <w:rFonts w:asciiTheme="minorHAnsi" w:hAnsiTheme="minorHAnsi" w:cstheme="minorHAnsi"/>
        </w:rPr>
        <w:t xml:space="preserve"> izrađuje Izvještaj </w:t>
      </w:r>
      <w:r w:rsidRPr="00D95FB8">
        <w:rPr>
          <w:rFonts w:asciiTheme="minorHAnsi" w:hAnsiTheme="minorHAnsi" w:cstheme="minorHAnsi"/>
        </w:rPr>
        <w:t>o izvršenju financijskog pla</w:t>
      </w:r>
      <w:r w:rsidR="00F21F36" w:rsidRPr="00D95FB8">
        <w:rPr>
          <w:rFonts w:asciiTheme="minorHAnsi" w:hAnsiTheme="minorHAnsi" w:cstheme="minorHAnsi"/>
        </w:rPr>
        <w:t>na</w:t>
      </w:r>
      <w:r w:rsidR="009B322A" w:rsidRPr="00D95FB8">
        <w:rPr>
          <w:rFonts w:asciiTheme="minorHAnsi" w:hAnsiTheme="minorHAnsi" w:cstheme="minorHAnsi"/>
        </w:rPr>
        <w:t xml:space="preserve"> za</w:t>
      </w:r>
      <w:r w:rsidR="002F5ABA" w:rsidRPr="00D95FB8">
        <w:rPr>
          <w:rFonts w:asciiTheme="minorHAnsi" w:hAnsiTheme="minorHAnsi" w:cstheme="minorHAnsi"/>
        </w:rPr>
        <w:t xml:space="preserve"> razdoblje od 1.1.202</w:t>
      </w:r>
      <w:r w:rsidR="00CB14FA">
        <w:rPr>
          <w:rFonts w:asciiTheme="minorHAnsi" w:hAnsiTheme="minorHAnsi" w:cstheme="minorHAnsi"/>
        </w:rPr>
        <w:t>5</w:t>
      </w:r>
      <w:r w:rsidR="002F5ABA" w:rsidRPr="00D95FB8">
        <w:rPr>
          <w:rFonts w:asciiTheme="minorHAnsi" w:hAnsiTheme="minorHAnsi" w:cstheme="minorHAnsi"/>
        </w:rPr>
        <w:t>. do 3</w:t>
      </w:r>
      <w:r w:rsidR="00605109">
        <w:rPr>
          <w:rFonts w:asciiTheme="minorHAnsi" w:hAnsiTheme="minorHAnsi" w:cstheme="minorHAnsi"/>
        </w:rPr>
        <w:t>1</w:t>
      </w:r>
      <w:r w:rsidR="002F5ABA" w:rsidRPr="00D95FB8">
        <w:rPr>
          <w:rFonts w:asciiTheme="minorHAnsi" w:hAnsiTheme="minorHAnsi" w:cstheme="minorHAnsi"/>
        </w:rPr>
        <w:t>.</w:t>
      </w:r>
      <w:r w:rsidR="00605109">
        <w:rPr>
          <w:rFonts w:asciiTheme="minorHAnsi" w:hAnsiTheme="minorHAnsi" w:cstheme="minorHAnsi"/>
        </w:rPr>
        <w:t>12</w:t>
      </w:r>
      <w:r w:rsidR="002F5ABA" w:rsidRPr="00D95FB8">
        <w:rPr>
          <w:rFonts w:asciiTheme="minorHAnsi" w:hAnsiTheme="minorHAnsi" w:cstheme="minorHAnsi"/>
        </w:rPr>
        <w:t>.202</w:t>
      </w:r>
      <w:r w:rsidR="00CB14FA">
        <w:rPr>
          <w:rFonts w:asciiTheme="minorHAnsi" w:hAnsiTheme="minorHAnsi" w:cstheme="minorHAnsi"/>
        </w:rPr>
        <w:t>5</w:t>
      </w:r>
      <w:r w:rsidR="002F5ABA" w:rsidRPr="00D95FB8">
        <w:rPr>
          <w:rFonts w:asciiTheme="minorHAnsi" w:hAnsiTheme="minorHAnsi" w:cstheme="minorHAnsi"/>
        </w:rPr>
        <w:t>. godine</w:t>
      </w:r>
      <w:r w:rsidR="009766D9" w:rsidRPr="00D95FB8">
        <w:rPr>
          <w:rFonts w:asciiTheme="minorHAnsi" w:hAnsiTheme="minorHAnsi" w:cstheme="minorHAnsi"/>
        </w:rPr>
        <w:t>.</w:t>
      </w:r>
    </w:p>
    <w:p w14:paraId="427BBA69" w14:textId="77777777" w:rsidR="00A37C89" w:rsidRPr="00D95FB8" w:rsidRDefault="00A37C89" w:rsidP="0074487F">
      <w:pPr>
        <w:spacing w:line="360" w:lineRule="auto"/>
        <w:jc w:val="both"/>
        <w:rPr>
          <w:rFonts w:asciiTheme="minorHAnsi" w:hAnsiTheme="minorHAnsi" w:cstheme="minorHAnsi"/>
        </w:rPr>
      </w:pPr>
    </w:p>
    <w:p w14:paraId="31B6AA03" w14:textId="3A1BE01A" w:rsidR="0074487F" w:rsidRPr="007F1B40" w:rsidRDefault="00A37C89" w:rsidP="0074487F">
      <w:pPr>
        <w:spacing w:line="360" w:lineRule="auto"/>
        <w:ind w:firstLine="708"/>
        <w:jc w:val="both"/>
        <w:rPr>
          <w:rFonts w:ascii="Calibri" w:hAnsi="Calibri" w:cs="Calibri"/>
        </w:rPr>
      </w:pPr>
      <w:r w:rsidRPr="00D95FB8">
        <w:rPr>
          <w:rFonts w:asciiTheme="minorHAnsi" w:hAnsiTheme="minorHAnsi" w:cstheme="minorHAnsi"/>
        </w:rPr>
        <w:t>Izvje</w:t>
      </w:r>
      <w:r w:rsidR="009766D9" w:rsidRPr="00D95FB8">
        <w:rPr>
          <w:rFonts w:asciiTheme="minorHAnsi" w:hAnsiTheme="minorHAnsi" w:cstheme="minorHAnsi"/>
        </w:rPr>
        <w:t xml:space="preserve">štaj </w:t>
      </w:r>
      <w:r w:rsidRPr="00D95FB8">
        <w:rPr>
          <w:rFonts w:asciiTheme="minorHAnsi" w:hAnsiTheme="minorHAnsi" w:cstheme="minorHAnsi"/>
        </w:rPr>
        <w:t>o izvršenju financijskog plana sastoj</w:t>
      </w:r>
      <w:r w:rsidR="0074487F">
        <w:rPr>
          <w:rFonts w:asciiTheme="minorHAnsi" w:hAnsiTheme="minorHAnsi" w:cstheme="minorHAnsi"/>
        </w:rPr>
        <w:t>i se od općeg i posebnog dijela</w:t>
      </w:r>
      <w:r w:rsidR="0074487F" w:rsidRPr="007F1B40">
        <w:rPr>
          <w:rFonts w:ascii="Calibri" w:hAnsi="Calibri" w:cs="Calibri"/>
        </w:rPr>
        <w:t>. Opći dio sadrži sažetak</w:t>
      </w:r>
      <w:r w:rsidR="0074487F">
        <w:rPr>
          <w:rFonts w:ascii="Calibri" w:hAnsi="Calibri" w:cs="Calibri"/>
        </w:rPr>
        <w:t xml:space="preserve"> prihoda i rashoda</w:t>
      </w:r>
      <w:r w:rsidR="0074487F" w:rsidRPr="007F1B40">
        <w:rPr>
          <w:rFonts w:ascii="Calibri" w:hAnsi="Calibri" w:cs="Calibri"/>
        </w:rPr>
        <w:t>, prihode i rashode poslovanja</w:t>
      </w:r>
      <w:r w:rsidR="0074487F">
        <w:rPr>
          <w:rFonts w:ascii="Calibri" w:hAnsi="Calibri" w:cs="Calibri"/>
        </w:rPr>
        <w:t xml:space="preserve"> prema ekonomskoj klasifikaciji na razini odjeljka</w:t>
      </w:r>
      <w:r w:rsidR="0074487F" w:rsidRPr="007F1B40">
        <w:rPr>
          <w:rFonts w:ascii="Calibri" w:hAnsi="Calibri" w:cs="Calibri"/>
        </w:rPr>
        <w:t xml:space="preserve"> te rashode za nabavu </w:t>
      </w:r>
      <w:r w:rsidR="0006244D">
        <w:rPr>
          <w:rFonts w:ascii="Calibri" w:hAnsi="Calibri" w:cs="Calibri"/>
        </w:rPr>
        <w:t>nefinancijske imovine, prihode i rashode prema izvorima financiranja,</w:t>
      </w:r>
      <w:r w:rsidR="0074487F" w:rsidRPr="007F1B40">
        <w:rPr>
          <w:rFonts w:ascii="Calibri" w:hAnsi="Calibri" w:cs="Calibri"/>
        </w:rPr>
        <w:t xml:space="preserve"> račun financiranja koji obuhvaća primitke i izdatke od financijske imovine</w:t>
      </w:r>
      <w:r w:rsidR="0006244D">
        <w:rPr>
          <w:rFonts w:ascii="Calibri" w:hAnsi="Calibri" w:cs="Calibri"/>
        </w:rPr>
        <w:t xml:space="preserve"> prema ekonomskoj klasifikaciji i prema izvorima financiranja</w:t>
      </w:r>
      <w:r w:rsidR="0074487F" w:rsidRPr="007F1B40">
        <w:rPr>
          <w:rFonts w:ascii="Calibri" w:hAnsi="Calibri" w:cs="Calibri"/>
        </w:rPr>
        <w:t xml:space="preserve"> te rashode prema funkcijskoj klasifikaciji. U posebnom dijelu iskazani su rashodi prema programima i aktivnostima, </w:t>
      </w:r>
      <w:r w:rsidR="00203803">
        <w:rPr>
          <w:rFonts w:ascii="Calibri" w:hAnsi="Calibri" w:cs="Calibri"/>
        </w:rPr>
        <w:t>na četvrtoj razini</w:t>
      </w:r>
      <w:r w:rsidR="0074487F" w:rsidRPr="007F1B40">
        <w:rPr>
          <w:rFonts w:ascii="Calibri" w:hAnsi="Calibri" w:cs="Calibri"/>
        </w:rPr>
        <w:t xml:space="preserve"> računskog plana i prema izvorima financiranja. Svaka tabela sadrži dva indeksa, jedan poka</w:t>
      </w:r>
      <w:r w:rsidR="0074487F">
        <w:rPr>
          <w:rFonts w:ascii="Calibri" w:hAnsi="Calibri" w:cs="Calibri"/>
        </w:rPr>
        <w:t>z</w:t>
      </w:r>
      <w:r w:rsidR="0006244D">
        <w:rPr>
          <w:rFonts w:ascii="Calibri" w:hAnsi="Calibri" w:cs="Calibri"/>
        </w:rPr>
        <w:t>uje izvršenje za razdoblje 1.-</w:t>
      </w:r>
      <w:r w:rsidR="00605109">
        <w:rPr>
          <w:rFonts w:ascii="Calibri" w:hAnsi="Calibri" w:cs="Calibri"/>
        </w:rPr>
        <w:t>12</w:t>
      </w:r>
      <w:r w:rsidR="0006244D">
        <w:rPr>
          <w:rFonts w:ascii="Calibri" w:hAnsi="Calibri" w:cs="Calibri"/>
        </w:rPr>
        <w:t>.</w:t>
      </w:r>
      <w:r w:rsidR="00605109">
        <w:rPr>
          <w:rFonts w:ascii="Calibri" w:hAnsi="Calibri" w:cs="Calibri"/>
        </w:rPr>
        <w:t xml:space="preserve"> </w:t>
      </w:r>
      <w:r w:rsidR="0006244D">
        <w:rPr>
          <w:rFonts w:ascii="Calibri" w:hAnsi="Calibri" w:cs="Calibri"/>
        </w:rPr>
        <w:t>202</w:t>
      </w:r>
      <w:r w:rsidR="00CB14FA">
        <w:rPr>
          <w:rFonts w:ascii="Calibri" w:hAnsi="Calibri" w:cs="Calibri"/>
        </w:rPr>
        <w:t>5</w:t>
      </w:r>
      <w:r w:rsidR="0074487F" w:rsidRPr="007F1B40">
        <w:rPr>
          <w:rFonts w:ascii="Calibri" w:hAnsi="Calibri" w:cs="Calibri"/>
        </w:rPr>
        <w:t>. u odnosu na plani</w:t>
      </w:r>
      <w:r w:rsidR="0006244D">
        <w:rPr>
          <w:rFonts w:ascii="Calibri" w:hAnsi="Calibri" w:cs="Calibri"/>
        </w:rPr>
        <w:t>rano financijskim planom za 202</w:t>
      </w:r>
      <w:r w:rsidR="00CB14FA">
        <w:rPr>
          <w:rFonts w:ascii="Calibri" w:hAnsi="Calibri" w:cs="Calibri"/>
        </w:rPr>
        <w:t>5</w:t>
      </w:r>
      <w:r w:rsidR="0074487F" w:rsidRPr="007F1B40">
        <w:rPr>
          <w:rFonts w:ascii="Calibri" w:hAnsi="Calibri" w:cs="Calibri"/>
        </w:rPr>
        <w:t>. godinu, a drugi izvršenje za o</w:t>
      </w:r>
      <w:r w:rsidR="0006244D">
        <w:rPr>
          <w:rFonts w:ascii="Calibri" w:hAnsi="Calibri" w:cs="Calibri"/>
        </w:rPr>
        <w:t>bračunsko razdoblje 202</w:t>
      </w:r>
      <w:r w:rsidR="00CB14FA">
        <w:rPr>
          <w:rFonts w:ascii="Calibri" w:hAnsi="Calibri" w:cs="Calibri"/>
        </w:rPr>
        <w:t>5</w:t>
      </w:r>
      <w:r w:rsidR="0074487F" w:rsidRPr="007F1B40">
        <w:rPr>
          <w:rFonts w:ascii="Calibri" w:hAnsi="Calibri" w:cs="Calibri"/>
        </w:rPr>
        <w:t>. u odnosu na izvršenje za isto razdoblje prethodne godine.</w:t>
      </w:r>
    </w:p>
    <w:p w14:paraId="0B4DB586" w14:textId="1DB8EC3D" w:rsidR="00D95FB8" w:rsidRPr="00D95FB8" w:rsidRDefault="00D95FB8" w:rsidP="0074487F">
      <w:pPr>
        <w:spacing w:line="360" w:lineRule="auto"/>
        <w:jc w:val="both"/>
        <w:rPr>
          <w:rFonts w:asciiTheme="minorHAnsi" w:hAnsiTheme="minorHAnsi" w:cstheme="minorHAnsi"/>
        </w:rPr>
      </w:pPr>
    </w:p>
    <w:p w14:paraId="7244083B" w14:textId="334EB635" w:rsidR="009B322A" w:rsidRPr="0006244D" w:rsidRDefault="0006244D" w:rsidP="0074487F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SAŽETAK UKUPNIH PRIHODA I RASHODA</w:t>
      </w:r>
    </w:p>
    <w:p w14:paraId="36FCA32A" w14:textId="13DF6DD9" w:rsidR="00A45C4B" w:rsidRDefault="002F5ABA" w:rsidP="0006244D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D95FB8">
        <w:rPr>
          <w:rFonts w:asciiTheme="minorHAnsi" w:hAnsiTheme="minorHAnsi" w:cstheme="minorHAnsi"/>
        </w:rPr>
        <w:t xml:space="preserve">Ukupni prihodi iznose </w:t>
      </w:r>
      <w:r w:rsidR="002F0FA3">
        <w:rPr>
          <w:rFonts w:asciiTheme="minorHAnsi" w:hAnsiTheme="minorHAnsi" w:cstheme="minorHAnsi"/>
        </w:rPr>
        <w:t>1.283.587,62</w:t>
      </w:r>
      <w:r w:rsidR="00962563" w:rsidRPr="00D95FB8">
        <w:rPr>
          <w:rFonts w:asciiTheme="minorHAnsi" w:hAnsiTheme="minorHAnsi" w:cstheme="minorHAnsi"/>
        </w:rPr>
        <w:t xml:space="preserve"> eura</w:t>
      </w:r>
      <w:r w:rsidRPr="00D95FB8">
        <w:rPr>
          <w:rFonts w:asciiTheme="minorHAnsi" w:hAnsiTheme="minorHAnsi" w:cstheme="minorHAnsi"/>
        </w:rPr>
        <w:t xml:space="preserve"> što je </w:t>
      </w:r>
      <w:r w:rsidR="002F0FA3">
        <w:rPr>
          <w:rFonts w:asciiTheme="minorHAnsi" w:hAnsiTheme="minorHAnsi" w:cstheme="minorHAnsi"/>
        </w:rPr>
        <w:t>92,51</w:t>
      </w:r>
      <w:r w:rsidRPr="00D95FB8">
        <w:rPr>
          <w:rFonts w:asciiTheme="minorHAnsi" w:hAnsiTheme="minorHAnsi" w:cstheme="minorHAnsi"/>
        </w:rPr>
        <w:t xml:space="preserve">% </w:t>
      </w:r>
      <w:r w:rsidR="00962563" w:rsidRPr="00D95FB8">
        <w:rPr>
          <w:rFonts w:asciiTheme="minorHAnsi" w:hAnsiTheme="minorHAnsi" w:cstheme="minorHAnsi"/>
        </w:rPr>
        <w:t>prihoda planiranih</w:t>
      </w:r>
      <w:r w:rsidRPr="00D95FB8">
        <w:rPr>
          <w:rFonts w:asciiTheme="minorHAnsi" w:hAnsiTheme="minorHAnsi" w:cstheme="minorHAnsi"/>
        </w:rPr>
        <w:t xml:space="preserve"> financijski</w:t>
      </w:r>
      <w:r w:rsidR="001531A5">
        <w:rPr>
          <w:rFonts w:asciiTheme="minorHAnsi" w:hAnsiTheme="minorHAnsi" w:cstheme="minorHAnsi"/>
        </w:rPr>
        <w:t>m</w:t>
      </w:r>
      <w:r w:rsidRPr="00D95FB8">
        <w:rPr>
          <w:rFonts w:asciiTheme="minorHAnsi" w:hAnsiTheme="minorHAnsi" w:cstheme="minorHAnsi"/>
        </w:rPr>
        <w:t xml:space="preserve"> plan</w:t>
      </w:r>
      <w:r w:rsidR="001531A5">
        <w:rPr>
          <w:rFonts w:asciiTheme="minorHAnsi" w:hAnsiTheme="minorHAnsi" w:cstheme="minorHAnsi"/>
        </w:rPr>
        <w:t>om</w:t>
      </w:r>
      <w:r w:rsidRPr="00D95FB8">
        <w:rPr>
          <w:rFonts w:asciiTheme="minorHAnsi" w:hAnsiTheme="minorHAnsi" w:cstheme="minorHAnsi"/>
        </w:rPr>
        <w:t xml:space="preserve"> </w:t>
      </w:r>
      <w:r w:rsidR="0067056F" w:rsidRPr="00D95FB8">
        <w:rPr>
          <w:rFonts w:asciiTheme="minorHAnsi" w:hAnsiTheme="minorHAnsi" w:cstheme="minorHAnsi"/>
        </w:rPr>
        <w:t>za 202</w:t>
      </w:r>
      <w:r w:rsidR="001531A5">
        <w:rPr>
          <w:rFonts w:asciiTheme="minorHAnsi" w:hAnsiTheme="minorHAnsi" w:cstheme="minorHAnsi"/>
        </w:rPr>
        <w:t>5</w:t>
      </w:r>
      <w:r w:rsidR="0067056F" w:rsidRPr="00D95FB8">
        <w:rPr>
          <w:rFonts w:asciiTheme="minorHAnsi" w:hAnsiTheme="minorHAnsi" w:cstheme="minorHAnsi"/>
        </w:rPr>
        <w:t>. godinu</w:t>
      </w:r>
      <w:r w:rsidR="00962563" w:rsidRPr="00D95FB8">
        <w:rPr>
          <w:rFonts w:asciiTheme="minorHAnsi" w:hAnsiTheme="minorHAnsi" w:cstheme="minorHAnsi"/>
        </w:rPr>
        <w:t>, a</w:t>
      </w:r>
      <w:r w:rsidR="00B67934" w:rsidRPr="00D95FB8">
        <w:rPr>
          <w:rFonts w:asciiTheme="minorHAnsi" w:hAnsiTheme="minorHAnsi" w:cstheme="minorHAnsi"/>
        </w:rPr>
        <w:t xml:space="preserve"> </w:t>
      </w:r>
      <w:r w:rsidR="002F0FA3">
        <w:rPr>
          <w:rFonts w:asciiTheme="minorHAnsi" w:hAnsiTheme="minorHAnsi" w:cstheme="minorHAnsi"/>
        </w:rPr>
        <w:t>9,99</w:t>
      </w:r>
      <w:r w:rsidR="00962563" w:rsidRPr="00D95FB8">
        <w:rPr>
          <w:rFonts w:asciiTheme="minorHAnsi" w:hAnsiTheme="minorHAnsi" w:cstheme="minorHAnsi"/>
        </w:rPr>
        <w:t>%</w:t>
      </w:r>
      <w:r w:rsidR="00B67934" w:rsidRPr="00D95FB8">
        <w:rPr>
          <w:rFonts w:asciiTheme="minorHAnsi" w:hAnsiTheme="minorHAnsi" w:cstheme="minorHAnsi"/>
        </w:rPr>
        <w:t xml:space="preserve"> više u odnosu na prethodnu godinu. Ukupni rashodi iznose </w:t>
      </w:r>
      <w:r w:rsidR="002F0FA3">
        <w:rPr>
          <w:rFonts w:asciiTheme="minorHAnsi" w:hAnsiTheme="minorHAnsi" w:cstheme="minorHAnsi"/>
        </w:rPr>
        <w:t>1.384.181,71</w:t>
      </w:r>
      <w:r w:rsidR="00962563" w:rsidRPr="00D95FB8">
        <w:rPr>
          <w:rFonts w:asciiTheme="minorHAnsi" w:hAnsiTheme="minorHAnsi" w:cstheme="minorHAnsi"/>
        </w:rPr>
        <w:t xml:space="preserve"> eura</w:t>
      </w:r>
      <w:r w:rsidR="00B67934" w:rsidRPr="00D95FB8">
        <w:rPr>
          <w:rFonts w:asciiTheme="minorHAnsi" w:hAnsiTheme="minorHAnsi" w:cstheme="minorHAnsi"/>
        </w:rPr>
        <w:t xml:space="preserve"> što je </w:t>
      </w:r>
      <w:r w:rsidR="002F0FA3">
        <w:rPr>
          <w:rFonts w:asciiTheme="minorHAnsi" w:hAnsiTheme="minorHAnsi" w:cstheme="minorHAnsi"/>
        </w:rPr>
        <w:t>95,41</w:t>
      </w:r>
      <w:r w:rsidR="00B67934" w:rsidRPr="00D95FB8">
        <w:rPr>
          <w:rFonts w:asciiTheme="minorHAnsi" w:hAnsiTheme="minorHAnsi" w:cstheme="minorHAnsi"/>
        </w:rPr>
        <w:t>% u odnosu na financi</w:t>
      </w:r>
      <w:r w:rsidR="00962563" w:rsidRPr="00D95FB8">
        <w:rPr>
          <w:rFonts w:asciiTheme="minorHAnsi" w:hAnsiTheme="minorHAnsi" w:cstheme="minorHAnsi"/>
        </w:rPr>
        <w:t>jski plan za 202</w:t>
      </w:r>
      <w:r w:rsidR="001531A5">
        <w:rPr>
          <w:rFonts w:asciiTheme="minorHAnsi" w:hAnsiTheme="minorHAnsi" w:cstheme="minorHAnsi"/>
        </w:rPr>
        <w:t>5</w:t>
      </w:r>
      <w:r w:rsidR="00962563" w:rsidRPr="00D95FB8">
        <w:rPr>
          <w:rFonts w:asciiTheme="minorHAnsi" w:hAnsiTheme="minorHAnsi" w:cstheme="minorHAnsi"/>
        </w:rPr>
        <w:t xml:space="preserve">. godinu i </w:t>
      </w:r>
      <w:r w:rsidR="002F0FA3">
        <w:rPr>
          <w:rFonts w:asciiTheme="minorHAnsi" w:hAnsiTheme="minorHAnsi" w:cstheme="minorHAnsi"/>
        </w:rPr>
        <w:t>20,98</w:t>
      </w:r>
      <w:r w:rsidR="00B67934" w:rsidRPr="00D95FB8">
        <w:rPr>
          <w:rFonts w:asciiTheme="minorHAnsi" w:hAnsiTheme="minorHAnsi" w:cstheme="minorHAnsi"/>
        </w:rPr>
        <w:t xml:space="preserve">% više </w:t>
      </w:r>
      <w:r w:rsidR="00962563" w:rsidRPr="00D95FB8">
        <w:rPr>
          <w:rFonts w:asciiTheme="minorHAnsi" w:hAnsiTheme="minorHAnsi" w:cstheme="minorHAnsi"/>
        </w:rPr>
        <w:lastRenderedPageBreak/>
        <w:t>nego u prethodnoj godini.</w:t>
      </w:r>
      <w:r w:rsidR="000457AC">
        <w:rPr>
          <w:rFonts w:asciiTheme="minorHAnsi" w:hAnsiTheme="minorHAnsi" w:cstheme="minorHAnsi"/>
        </w:rPr>
        <w:t xml:space="preserve"> Povećanje prihoda u 2025. u odnosu na 2024. godinu najvećim je dijelom rezultat povećanja prihoda iz državnog proračuna za plaće za zaposlene. U skladu s povećanjem prihoda povećani su i rashodi koji se financiraju iz državnog proračuna.</w:t>
      </w:r>
      <w:r w:rsidR="00B951FD" w:rsidRPr="00D95FB8">
        <w:rPr>
          <w:rFonts w:asciiTheme="minorHAnsi" w:hAnsiTheme="minorHAnsi" w:cstheme="minorHAnsi"/>
        </w:rPr>
        <w:t xml:space="preserve"> Razliku </w:t>
      </w:r>
      <w:r w:rsidR="00962563" w:rsidRPr="00D95FB8">
        <w:rPr>
          <w:rFonts w:asciiTheme="minorHAnsi" w:hAnsiTheme="minorHAnsi" w:cstheme="minorHAnsi"/>
        </w:rPr>
        <w:t xml:space="preserve">prihoda i rashoda </w:t>
      </w:r>
      <w:r w:rsidR="00B951FD" w:rsidRPr="00D95FB8">
        <w:rPr>
          <w:rFonts w:asciiTheme="minorHAnsi" w:hAnsiTheme="minorHAnsi" w:cstheme="minorHAnsi"/>
        </w:rPr>
        <w:t xml:space="preserve">čini </w:t>
      </w:r>
      <w:r w:rsidR="001531A5">
        <w:rPr>
          <w:rFonts w:asciiTheme="minorHAnsi" w:hAnsiTheme="minorHAnsi" w:cstheme="minorHAnsi"/>
        </w:rPr>
        <w:t>manjak</w:t>
      </w:r>
      <w:r w:rsidR="00B951FD" w:rsidRPr="00D95FB8">
        <w:rPr>
          <w:rFonts w:asciiTheme="minorHAnsi" w:hAnsiTheme="minorHAnsi" w:cstheme="minorHAnsi"/>
        </w:rPr>
        <w:t xml:space="preserve"> prihoda u iznosu od </w:t>
      </w:r>
      <w:r w:rsidR="000457AC">
        <w:rPr>
          <w:rFonts w:asciiTheme="minorHAnsi" w:hAnsiTheme="minorHAnsi" w:cstheme="minorHAnsi"/>
        </w:rPr>
        <w:t>100.594,09</w:t>
      </w:r>
      <w:r w:rsidR="00962563" w:rsidRPr="00D95FB8">
        <w:rPr>
          <w:rFonts w:asciiTheme="minorHAnsi" w:hAnsiTheme="minorHAnsi" w:cstheme="minorHAnsi"/>
        </w:rPr>
        <w:t xml:space="preserve"> eura</w:t>
      </w:r>
      <w:r w:rsidR="00B951FD" w:rsidRPr="00D95FB8">
        <w:rPr>
          <w:rFonts w:asciiTheme="minorHAnsi" w:hAnsiTheme="minorHAnsi" w:cstheme="minorHAnsi"/>
        </w:rPr>
        <w:t xml:space="preserve">, preneseni višak iz prethodne godine </w:t>
      </w:r>
      <w:r w:rsidR="000457AC">
        <w:rPr>
          <w:rFonts w:asciiTheme="minorHAnsi" w:hAnsiTheme="minorHAnsi" w:cstheme="minorHAnsi"/>
        </w:rPr>
        <w:t>iznosi</w:t>
      </w:r>
      <w:r w:rsidR="00B951FD" w:rsidRPr="00D95FB8">
        <w:rPr>
          <w:rFonts w:asciiTheme="minorHAnsi" w:hAnsiTheme="minorHAnsi" w:cstheme="minorHAnsi"/>
        </w:rPr>
        <w:t xml:space="preserve"> </w:t>
      </w:r>
      <w:r w:rsidR="001531A5">
        <w:rPr>
          <w:rFonts w:asciiTheme="minorHAnsi" w:hAnsiTheme="minorHAnsi" w:cstheme="minorHAnsi"/>
        </w:rPr>
        <w:t>63.348,87</w:t>
      </w:r>
      <w:r w:rsidR="00962563" w:rsidRPr="00D95FB8">
        <w:rPr>
          <w:rFonts w:asciiTheme="minorHAnsi" w:hAnsiTheme="minorHAnsi" w:cstheme="minorHAnsi"/>
        </w:rPr>
        <w:t xml:space="preserve"> eura pa će se u sljedeće razdoblje prenijeti ukupni </w:t>
      </w:r>
      <w:r w:rsidR="001531A5">
        <w:rPr>
          <w:rFonts w:asciiTheme="minorHAnsi" w:hAnsiTheme="minorHAnsi" w:cstheme="minorHAnsi"/>
        </w:rPr>
        <w:t>manjak u iznosu</w:t>
      </w:r>
      <w:r w:rsidR="00962563" w:rsidRPr="00D95FB8">
        <w:rPr>
          <w:rFonts w:asciiTheme="minorHAnsi" w:hAnsiTheme="minorHAnsi" w:cstheme="minorHAnsi"/>
        </w:rPr>
        <w:t xml:space="preserve"> od </w:t>
      </w:r>
      <w:r w:rsidR="000457AC">
        <w:rPr>
          <w:rFonts w:asciiTheme="minorHAnsi" w:hAnsiTheme="minorHAnsi" w:cstheme="minorHAnsi"/>
        </w:rPr>
        <w:t>37.245,22</w:t>
      </w:r>
      <w:r w:rsidR="00962563" w:rsidRPr="00D95FB8">
        <w:rPr>
          <w:rFonts w:asciiTheme="minorHAnsi" w:hAnsiTheme="minorHAnsi" w:cstheme="minorHAnsi"/>
        </w:rPr>
        <w:t xml:space="preserve"> eura</w:t>
      </w:r>
      <w:r w:rsidR="00B951FD" w:rsidRPr="00D95FB8">
        <w:rPr>
          <w:rFonts w:asciiTheme="minorHAnsi" w:hAnsiTheme="minorHAnsi" w:cstheme="minorHAnsi"/>
        </w:rPr>
        <w:t>.</w:t>
      </w:r>
      <w:r w:rsidR="00B67934" w:rsidRPr="00D95FB8">
        <w:rPr>
          <w:rFonts w:asciiTheme="minorHAnsi" w:hAnsiTheme="minorHAnsi" w:cstheme="minorHAnsi"/>
        </w:rPr>
        <w:t xml:space="preserve"> </w:t>
      </w:r>
    </w:p>
    <w:p w14:paraId="092FD073" w14:textId="539DAEF2" w:rsidR="00170DA6" w:rsidRPr="00EB42E9" w:rsidRDefault="00170DA6" w:rsidP="00170DA6">
      <w:pPr>
        <w:spacing w:line="360" w:lineRule="auto"/>
        <w:ind w:firstLine="708"/>
        <w:jc w:val="both"/>
        <w:rPr>
          <w:rFonts w:ascii="Calibri" w:hAnsi="Calibri"/>
        </w:rPr>
      </w:pPr>
      <w:r w:rsidRPr="00EB42E9">
        <w:rPr>
          <w:rFonts w:ascii="Calibri" w:hAnsi="Calibri"/>
        </w:rPr>
        <w:t xml:space="preserve">Budući da se viškovi i manjkovi prihoda i primitaka iskazuju po izvorima financiranja, tako je </w:t>
      </w:r>
      <w:bookmarkStart w:id="1" w:name="_Hlk222295787"/>
      <w:r w:rsidRPr="00EB42E9">
        <w:rPr>
          <w:rFonts w:ascii="Calibri" w:hAnsi="Calibri"/>
        </w:rPr>
        <w:t>po istom izvoru 431-Sufinanciranje cijene usluge, participacije i slično-proračunski korisnici, ostvaren višak prihoda poslovanja u iznosu od 92.754,04 eura i manjak prihoda od nefinancijske imovine u iznosu od 34.804,71 eura. Navedeni manjak prihoda od nefinancijske imovine pokrit će se viškom prihoda poslovanja donošenjem Odluke o raspodjeli rezultata i bit će ostvaren višak u iznosu od 57.949,33 eura.</w:t>
      </w:r>
      <w:bookmarkEnd w:id="1"/>
      <w:r w:rsidRPr="00EB42E9">
        <w:rPr>
          <w:rFonts w:ascii="Calibri" w:hAnsi="Calibri"/>
        </w:rPr>
        <w:t xml:space="preserve"> Po izvoru 5</w:t>
      </w:r>
      <w:r w:rsidR="00AF06A9">
        <w:rPr>
          <w:rFonts w:ascii="Calibri" w:hAnsi="Calibri"/>
        </w:rPr>
        <w:t>3</w:t>
      </w:r>
      <w:r w:rsidRPr="00EB42E9">
        <w:rPr>
          <w:rFonts w:ascii="Calibri" w:hAnsi="Calibri"/>
        </w:rPr>
        <w:t xml:space="preserve">1-Tekuće pomoći proračunskim korisnicima iz proračuna koji im nije nadležan, ostvaren je manjak prihoda poslovanja u iznosu od 95.194,55 eura. Navedeni manjak odnosi se na rashode za plaće i naknade zaposlenika za mjesec prosinac 2025. godine i predstavlja metodološki manjak koji će se pokriti u siječnju 2026. godine kada će biti evidentiran prihod za navedene rashode. </w:t>
      </w:r>
    </w:p>
    <w:p w14:paraId="2C79F484" w14:textId="77777777" w:rsidR="00784253" w:rsidRPr="00D95FB8" w:rsidRDefault="00784253" w:rsidP="0074487F">
      <w:pPr>
        <w:spacing w:line="360" w:lineRule="auto"/>
        <w:rPr>
          <w:rFonts w:asciiTheme="minorHAnsi" w:hAnsiTheme="minorHAnsi" w:cstheme="minorHAnsi"/>
        </w:rPr>
      </w:pPr>
    </w:p>
    <w:p w14:paraId="14B499D5" w14:textId="4575A6BF" w:rsidR="00C44A53" w:rsidRPr="0006244D" w:rsidRDefault="0006244D" w:rsidP="0074487F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PRIHODI POSLOVANJA</w:t>
      </w:r>
    </w:p>
    <w:p w14:paraId="6F7E3773" w14:textId="783C98C9" w:rsidR="000D7186" w:rsidRPr="00D95FB8" w:rsidRDefault="00962563" w:rsidP="0074487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D95FB8">
        <w:rPr>
          <w:rFonts w:asciiTheme="minorHAnsi" w:hAnsiTheme="minorHAnsi" w:cstheme="minorHAnsi"/>
        </w:rPr>
        <w:t>Skupina 63</w:t>
      </w:r>
      <w:r w:rsidR="0093782A" w:rsidRPr="00D95FB8">
        <w:rPr>
          <w:rFonts w:asciiTheme="minorHAnsi" w:hAnsiTheme="minorHAnsi" w:cstheme="minorHAnsi"/>
        </w:rPr>
        <w:t xml:space="preserve"> – ostvareno je </w:t>
      </w:r>
      <w:r w:rsidR="00A23D1C">
        <w:rPr>
          <w:rFonts w:asciiTheme="minorHAnsi" w:hAnsiTheme="minorHAnsi" w:cstheme="minorHAnsi"/>
        </w:rPr>
        <w:t>91,30</w:t>
      </w:r>
      <w:r w:rsidR="0093782A" w:rsidRPr="00D95FB8">
        <w:rPr>
          <w:rFonts w:asciiTheme="minorHAnsi" w:hAnsiTheme="minorHAnsi" w:cstheme="minorHAnsi"/>
        </w:rPr>
        <w:t xml:space="preserve">% planiranih prihoda. </w:t>
      </w:r>
      <w:r w:rsidR="005D1199" w:rsidRPr="00D95FB8">
        <w:rPr>
          <w:rFonts w:asciiTheme="minorHAnsi" w:hAnsiTheme="minorHAnsi" w:cstheme="minorHAnsi"/>
        </w:rPr>
        <w:t xml:space="preserve">Ostvareni prihodi su veći u odnosu na prethodno razdoblje za </w:t>
      </w:r>
      <w:r w:rsidR="00DB6B87">
        <w:rPr>
          <w:rFonts w:asciiTheme="minorHAnsi" w:hAnsiTheme="minorHAnsi" w:cstheme="minorHAnsi"/>
        </w:rPr>
        <w:t>1</w:t>
      </w:r>
      <w:r w:rsidR="00A23D1C">
        <w:rPr>
          <w:rFonts w:asciiTheme="minorHAnsi" w:hAnsiTheme="minorHAnsi" w:cstheme="minorHAnsi"/>
        </w:rPr>
        <w:t>0,40</w:t>
      </w:r>
      <w:r w:rsidR="00AA4BA8" w:rsidRPr="00D95FB8">
        <w:rPr>
          <w:rFonts w:asciiTheme="minorHAnsi" w:hAnsiTheme="minorHAnsi" w:cstheme="minorHAnsi"/>
        </w:rPr>
        <w:t>%</w:t>
      </w:r>
      <w:r w:rsidR="005D1199" w:rsidRPr="00D95FB8">
        <w:rPr>
          <w:rFonts w:asciiTheme="minorHAnsi" w:hAnsiTheme="minorHAnsi" w:cstheme="minorHAnsi"/>
        </w:rPr>
        <w:t xml:space="preserve">. </w:t>
      </w:r>
      <w:r w:rsidR="0093782A" w:rsidRPr="00D95FB8">
        <w:rPr>
          <w:rFonts w:asciiTheme="minorHAnsi" w:hAnsiTheme="minorHAnsi" w:cstheme="minorHAnsi"/>
        </w:rPr>
        <w:t>Navedeni prihodi odnose se na</w:t>
      </w:r>
      <w:r w:rsidR="000D7186" w:rsidRPr="00D95FB8">
        <w:rPr>
          <w:rFonts w:asciiTheme="minorHAnsi" w:hAnsiTheme="minorHAnsi" w:cstheme="minorHAnsi"/>
        </w:rPr>
        <w:t>:</w:t>
      </w:r>
    </w:p>
    <w:p w14:paraId="58222406" w14:textId="7C37D880" w:rsidR="000D7186" w:rsidRPr="00D95FB8" w:rsidRDefault="000D7186" w:rsidP="0074487F">
      <w:pPr>
        <w:pStyle w:val="Odlomakpopisa"/>
        <w:spacing w:line="360" w:lineRule="auto"/>
        <w:jc w:val="both"/>
        <w:rPr>
          <w:rFonts w:asciiTheme="minorHAnsi" w:hAnsiTheme="minorHAnsi" w:cstheme="minorHAnsi"/>
        </w:rPr>
      </w:pPr>
      <w:r w:rsidRPr="00D95FB8">
        <w:rPr>
          <w:rFonts w:asciiTheme="minorHAnsi" w:hAnsiTheme="minorHAnsi" w:cstheme="minorHAnsi"/>
        </w:rPr>
        <w:t xml:space="preserve">- </w:t>
      </w:r>
      <w:r w:rsidR="0093782A" w:rsidRPr="00D95FB8">
        <w:rPr>
          <w:rFonts w:asciiTheme="minorHAnsi" w:hAnsiTheme="minorHAnsi" w:cstheme="minorHAnsi"/>
        </w:rPr>
        <w:t xml:space="preserve"> prihode i</w:t>
      </w:r>
      <w:r w:rsidR="00B439A3" w:rsidRPr="00D95FB8">
        <w:rPr>
          <w:rFonts w:asciiTheme="minorHAnsi" w:hAnsiTheme="minorHAnsi" w:cstheme="minorHAnsi"/>
        </w:rPr>
        <w:t xml:space="preserve">z državnog proračuna </w:t>
      </w:r>
      <w:r w:rsidR="005D1199" w:rsidRPr="00D95FB8">
        <w:rPr>
          <w:rFonts w:asciiTheme="minorHAnsi" w:hAnsiTheme="minorHAnsi" w:cstheme="minorHAnsi"/>
        </w:rPr>
        <w:t xml:space="preserve">u iznosu od </w:t>
      </w:r>
      <w:r w:rsidR="00A23D1C">
        <w:rPr>
          <w:rFonts w:asciiTheme="minorHAnsi" w:hAnsiTheme="minorHAnsi" w:cstheme="minorHAnsi"/>
        </w:rPr>
        <w:t>1.114.326,86</w:t>
      </w:r>
      <w:r w:rsidR="00AA4BA8" w:rsidRPr="00D95FB8">
        <w:rPr>
          <w:rFonts w:asciiTheme="minorHAnsi" w:hAnsiTheme="minorHAnsi" w:cstheme="minorHAnsi"/>
        </w:rPr>
        <w:t xml:space="preserve"> eura </w:t>
      </w:r>
      <w:r w:rsidR="0093782A" w:rsidRPr="00D95FB8">
        <w:rPr>
          <w:rFonts w:asciiTheme="minorHAnsi" w:hAnsiTheme="minorHAnsi" w:cstheme="minorHAnsi"/>
        </w:rPr>
        <w:t>za plaće i materijalna prava zaposlenih</w:t>
      </w:r>
    </w:p>
    <w:p w14:paraId="30CCCDBA" w14:textId="0CD8C04C" w:rsidR="000D7186" w:rsidRPr="00D95FB8" w:rsidRDefault="000D7186" w:rsidP="0074487F">
      <w:pPr>
        <w:pStyle w:val="Odlomakpopisa"/>
        <w:spacing w:line="360" w:lineRule="auto"/>
        <w:jc w:val="both"/>
        <w:rPr>
          <w:rFonts w:asciiTheme="minorHAnsi" w:hAnsiTheme="minorHAnsi" w:cstheme="minorHAnsi"/>
        </w:rPr>
      </w:pPr>
      <w:r w:rsidRPr="00D95FB8">
        <w:rPr>
          <w:rFonts w:asciiTheme="minorHAnsi" w:hAnsiTheme="minorHAnsi" w:cstheme="minorHAnsi"/>
        </w:rPr>
        <w:t>- prihode iz proračuna</w:t>
      </w:r>
      <w:r w:rsidR="00AA4BA8" w:rsidRPr="00D95FB8">
        <w:rPr>
          <w:rFonts w:asciiTheme="minorHAnsi" w:hAnsiTheme="minorHAnsi" w:cstheme="minorHAnsi"/>
        </w:rPr>
        <w:t xml:space="preserve"> Grada Čakovca</w:t>
      </w:r>
      <w:r w:rsidR="005D1199" w:rsidRPr="00D95FB8">
        <w:rPr>
          <w:rFonts w:asciiTheme="minorHAnsi" w:hAnsiTheme="minorHAnsi" w:cstheme="minorHAnsi"/>
        </w:rPr>
        <w:t xml:space="preserve"> u iznosu od </w:t>
      </w:r>
      <w:r w:rsidR="00A23D1C">
        <w:rPr>
          <w:rFonts w:asciiTheme="minorHAnsi" w:hAnsiTheme="minorHAnsi" w:cstheme="minorHAnsi"/>
        </w:rPr>
        <w:t>9.299,23</w:t>
      </w:r>
      <w:r w:rsidR="00AA4BA8" w:rsidRPr="00D95FB8">
        <w:rPr>
          <w:rFonts w:asciiTheme="minorHAnsi" w:hAnsiTheme="minorHAnsi" w:cstheme="minorHAnsi"/>
        </w:rPr>
        <w:t xml:space="preserve"> eura</w:t>
      </w:r>
      <w:r w:rsidRPr="00D95FB8">
        <w:rPr>
          <w:rFonts w:asciiTheme="minorHAnsi" w:hAnsiTheme="minorHAnsi" w:cstheme="minorHAnsi"/>
        </w:rPr>
        <w:t xml:space="preserve"> za </w:t>
      </w:r>
      <w:r w:rsidR="00AA4BA8" w:rsidRPr="00D95FB8">
        <w:rPr>
          <w:rFonts w:asciiTheme="minorHAnsi" w:hAnsiTheme="minorHAnsi" w:cstheme="minorHAnsi"/>
        </w:rPr>
        <w:t>rad dječjeg foruma</w:t>
      </w:r>
      <w:r w:rsidR="00551088">
        <w:rPr>
          <w:rFonts w:asciiTheme="minorHAnsi" w:hAnsiTheme="minorHAnsi" w:cstheme="minorHAnsi"/>
        </w:rPr>
        <w:t xml:space="preserve">, </w:t>
      </w:r>
      <w:r w:rsidR="00551088">
        <w:rPr>
          <w:rFonts w:ascii="Calibri" w:hAnsi="Calibri"/>
        </w:rPr>
        <w:t xml:space="preserve">za nabavu opreme za zaštitu vrata i glavnog ulaza uslijed donošenja osnovnih sigurnosnih mjera za škole (zaključavanje škole), za projekt „I ja to želim“ i za 20. Međunarodno gudačko natjecanje Rudolf </w:t>
      </w:r>
      <w:proofErr w:type="spellStart"/>
      <w:r w:rsidR="00551088">
        <w:rPr>
          <w:rFonts w:ascii="Calibri" w:hAnsi="Calibri"/>
        </w:rPr>
        <w:t>Matz</w:t>
      </w:r>
      <w:proofErr w:type="spellEnd"/>
    </w:p>
    <w:p w14:paraId="2F34BEC9" w14:textId="6A5BC612" w:rsidR="00C72F7A" w:rsidRPr="00D95FB8" w:rsidRDefault="00AA4BA8" w:rsidP="0074487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D95FB8">
        <w:rPr>
          <w:rFonts w:asciiTheme="minorHAnsi" w:hAnsiTheme="minorHAnsi" w:cstheme="minorHAnsi"/>
        </w:rPr>
        <w:t>Skupina 64</w:t>
      </w:r>
      <w:r w:rsidR="00C72F7A" w:rsidRPr="00D95FB8">
        <w:rPr>
          <w:rFonts w:asciiTheme="minorHAnsi" w:hAnsiTheme="minorHAnsi" w:cstheme="minorHAnsi"/>
        </w:rPr>
        <w:t xml:space="preserve"> – ostvareno je </w:t>
      </w:r>
      <w:r w:rsidR="00897E3B">
        <w:rPr>
          <w:rFonts w:asciiTheme="minorHAnsi" w:hAnsiTheme="minorHAnsi" w:cstheme="minorHAnsi"/>
        </w:rPr>
        <w:t>123,48</w:t>
      </w:r>
      <w:r w:rsidR="00C72F7A" w:rsidRPr="00D95FB8">
        <w:rPr>
          <w:rFonts w:asciiTheme="minorHAnsi" w:hAnsiTheme="minorHAnsi" w:cstheme="minorHAnsi"/>
        </w:rPr>
        <w:t xml:space="preserve">% planiranih prihoda. Navedeni prihodi odnose se na kamatu </w:t>
      </w:r>
      <w:r w:rsidRPr="00D95FB8">
        <w:rPr>
          <w:rFonts w:asciiTheme="minorHAnsi" w:hAnsiTheme="minorHAnsi" w:cstheme="minorHAnsi"/>
        </w:rPr>
        <w:t>banke po transakcijskom računu</w:t>
      </w:r>
      <w:r w:rsidR="00897E3B">
        <w:rPr>
          <w:rFonts w:asciiTheme="minorHAnsi" w:hAnsiTheme="minorHAnsi" w:cstheme="minorHAnsi"/>
        </w:rPr>
        <w:t xml:space="preserve">. Ostvaren je veći prihod od imovine u odnosu na planirano financijskim planom za 2025. godinu jer je banka prilikom zatvaranja </w:t>
      </w:r>
      <w:r w:rsidR="00897E3B">
        <w:rPr>
          <w:rFonts w:ascii="Calibri" w:hAnsi="Calibri"/>
        </w:rPr>
        <w:t>poslovnog računa škole s danom 30.12.2025. radi prelaska na Jedinstveni račun Riznice, isplatila kamatu na oročena sredstva i depozite po viđenju.</w:t>
      </w:r>
    </w:p>
    <w:p w14:paraId="1587F57F" w14:textId="50CB2649" w:rsidR="00C72F7A" w:rsidRPr="00D95FB8" w:rsidRDefault="00C72F7A" w:rsidP="0074487F">
      <w:pPr>
        <w:pStyle w:val="Bezprored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D95FB8">
        <w:rPr>
          <w:rFonts w:asciiTheme="minorHAnsi" w:hAnsiTheme="minorHAnsi" w:cstheme="minorHAnsi"/>
        </w:rPr>
        <w:lastRenderedPageBreak/>
        <w:t xml:space="preserve">Skupina </w:t>
      </w:r>
      <w:r w:rsidR="00AA4BA8" w:rsidRPr="00D95FB8">
        <w:rPr>
          <w:rFonts w:asciiTheme="minorHAnsi" w:hAnsiTheme="minorHAnsi" w:cstheme="minorHAnsi"/>
        </w:rPr>
        <w:t>65</w:t>
      </w:r>
      <w:r w:rsidR="00A930CA" w:rsidRPr="00D95FB8">
        <w:rPr>
          <w:rFonts w:asciiTheme="minorHAnsi" w:hAnsiTheme="minorHAnsi" w:cstheme="minorHAnsi"/>
        </w:rPr>
        <w:t xml:space="preserve"> – ostvareno </w:t>
      </w:r>
      <w:r w:rsidR="006327FE" w:rsidRPr="00D95FB8">
        <w:rPr>
          <w:rFonts w:asciiTheme="minorHAnsi" w:hAnsiTheme="minorHAnsi" w:cstheme="minorHAnsi"/>
        </w:rPr>
        <w:t xml:space="preserve">je </w:t>
      </w:r>
      <w:r w:rsidR="00897E3B">
        <w:rPr>
          <w:rFonts w:asciiTheme="minorHAnsi" w:hAnsiTheme="minorHAnsi" w:cstheme="minorHAnsi"/>
        </w:rPr>
        <w:t>103,13</w:t>
      </w:r>
      <w:r w:rsidR="00AA4BA8" w:rsidRPr="00D95FB8">
        <w:rPr>
          <w:rFonts w:asciiTheme="minorHAnsi" w:hAnsiTheme="minorHAnsi" w:cstheme="minorHAnsi"/>
        </w:rPr>
        <w:t xml:space="preserve">% planiranih prihoda i </w:t>
      </w:r>
      <w:r w:rsidR="00897E3B">
        <w:rPr>
          <w:rFonts w:asciiTheme="minorHAnsi" w:hAnsiTheme="minorHAnsi" w:cstheme="minorHAnsi"/>
        </w:rPr>
        <w:t>5,43</w:t>
      </w:r>
      <w:r w:rsidR="006327FE" w:rsidRPr="00D95FB8">
        <w:rPr>
          <w:rFonts w:asciiTheme="minorHAnsi" w:hAnsiTheme="minorHAnsi" w:cstheme="minorHAnsi"/>
        </w:rPr>
        <w:t xml:space="preserve">% </w:t>
      </w:r>
      <w:r w:rsidR="00AA4BA8" w:rsidRPr="00D95FB8">
        <w:rPr>
          <w:rFonts w:asciiTheme="minorHAnsi" w:hAnsiTheme="minorHAnsi" w:cstheme="minorHAnsi"/>
        </w:rPr>
        <w:t xml:space="preserve">više </w:t>
      </w:r>
      <w:r w:rsidR="006327FE" w:rsidRPr="00D95FB8">
        <w:rPr>
          <w:rFonts w:asciiTheme="minorHAnsi" w:hAnsiTheme="minorHAnsi" w:cstheme="minorHAnsi"/>
        </w:rPr>
        <w:t xml:space="preserve">prihoda </w:t>
      </w:r>
      <w:r w:rsidR="00AA4BA8" w:rsidRPr="00D95FB8">
        <w:rPr>
          <w:rFonts w:asciiTheme="minorHAnsi" w:hAnsiTheme="minorHAnsi" w:cstheme="minorHAnsi"/>
        </w:rPr>
        <w:t xml:space="preserve">nego u istom razdoblju </w:t>
      </w:r>
      <w:r w:rsidR="006327FE" w:rsidRPr="00D95FB8">
        <w:rPr>
          <w:rFonts w:asciiTheme="minorHAnsi" w:hAnsiTheme="minorHAnsi" w:cstheme="minorHAnsi"/>
        </w:rPr>
        <w:t>prethodne godine.</w:t>
      </w:r>
      <w:r w:rsidR="00A930CA" w:rsidRPr="00D95FB8">
        <w:rPr>
          <w:rFonts w:asciiTheme="minorHAnsi" w:hAnsiTheme="minorHAnsi" w:cstheme="minorHAnsi"/>
        </w:rPr>
        <w:t xml:space="preserve"> Navedeni prihodi odnose se </w:t>
      </w:r>
      <w:r w:rsidR="00AA4BA8" w:rsidRPr="00D95FB8">
        <w:rPr>
          <w:rFonts w:asciiTheme="minorHAnsi" w:hAnsiTheme="minorHAnsi" w:cstheme="minorHAnsi"/>
        </w:rPr>
        <w:t>na participacije učenika</w:t>
      </w:r>
      <w:r w:rsidR="00892FF1">
        <w:rPr>
          <w:rFonts w:asciiTheme="minorHAnsi" w:hAnsiTheme="minorHAnsi" w:cstheme="minorHAnsi"/>
        </w:rPr>
        <w:t xml:space="preserve">, </w:t>
      </w:r>
      <w:r w:rsidR="00AA4BA8" w:rsidRPr="00D95FB8">
        <w:rPr>
          <w:rFonts w:asciiTheme="minorHAnsi" w:hAnsiTheme="minorHAnsi" w:cstheme="minorHAnsi"/>
        </w:rPr>
        <w:t>uplate korisnika za polaganja ispita prema osobnim potrebama</w:t>
      </w:r>
      <w:r w:rsidR="00892FF1">
        <w:rPr>
          <w:rFonts w:asciiTheme="minorHAnsi" w:hAnsiTheme="minorHAnsi" w:cstheme="minorHAnsi"/>
        </w:rPr>
        <w:t xml:space="preserve"> </w:t>
      </w:r>
      <w:bookmarkStart w:id="2" w:name="_Hlk204158614"/>
      <w:r w:rsidR="00892FF1">
        <w:rPr>
          <w:rFonts w:asciiTheme="minorHAnsi" w:hAnsiTheme="minorHAnsi" w:cstheme="minorHAnsi"/>
        </w:rPr>
        <w:t xml:space="preserve">te na uplate kotizacija natjecatelja Međunarodnog gudačkog natjecanja Rudolf </w:t>
      </w:r>
      <w:proofErr w:type="spellStart"/>
      <w:r w:rsidR="00892FF1">
        <w:rPr>
          <w:rFonts w:asciiTheme="minorHAnsi" w:hAnsiTheme="minorHAnsi" w:cstheme="minorHAnsi"/>
        </w:rPr>
        <w:t>Matz</w:t>
      </w:r>
      <w:proofErr w:type="spellEnd"/>
      <w:r w:rsidR="00892FF1">
        <w:rPr>
          <w:rFonts w:asciiTheme="minorHAnsi" w:hAnsiTheme="minorHAnsi" w:cstheme="minorHAnsi"/>
        </w:rPr>
        <w:t xml:space="preserve"> održanog u travnju 2025. godine</w:t>
      </w:r>
      <w:r w:rsidR="00897E3B">
        <w:rPr>
          <w:rFonts w:asciiTheme="minorHAnsi" w:hAnsiTheme="minorHAnsi" w:cstheme="minorHAnsi"/>
        </w:rPr>
        <w:t>.</w:t>
      </w:r>
    </w:p>
    <w:bookmarkEnd w:id="2"/>
    <w:p w14:paraId="3E865F47" w14:textId="074CAD37" w:rsidR="00FE2F7C" w:rsidRPr="00D95FB8" w:rsidRDefault="00AA4BA8" w:rsidP="0074487F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D95FB8">
        <w:rPr>
          <w:rFonts w:asciiTheme="minorHAnsi" w:hAnsiTheme="minorHAnsi" w:cstheme="minorHAnsi"/>
        </w:rPr>
        <w:t>Skupina 66</w:t>
      </w:r>
      <w:r w:rsidR="00FE2F7C" w:rsidRPr="00D95FB8">
        <w:rPr>
          <w:rFonts w:asciiTheme="minorHAnsi" w:hAnsiTheme="minorHAnsi" w:cstheme="minorHAnsi"/>
        </w:rPr>
        <w:t xml:space="preserve"> – </w:t>
      </w:r>
      <w:r w:rsidR="00F01B2D">
        <w:rPr>
          <w:rFonts w:asciiTheme="minorHAnsi" w:hAnsiTheme="minorHAnsi" w:cstheme="minorHAnsi"/>
        </w:rPr>
        <w:t xml:space="preserve">ostvareno je </w:t>
      </w:r>
      <w:r w:rsidR="005A5960">
        <w:rPr>
          <w:rFonts w:asciiTheme="minorHAnsi" w:hAnsiTheme="minorHAnsi" w:cstheme="minorHAnsi"/>
        </w:rPr>
        <w:t>100</w:t>
      </w:r>
      <w:r w:rsidR="00137C70">
        <w:rPr>
          <w:rFonts w:asciiTheme="minorHAnsi" w:hAnsiTheme="minorHAnsi" w:cstheme="minorHAnsi"/>
        </w:rPr>
        <w:t>,00</w:t>
      </w:r>
      <w:r w:rsidR="00F01B2D">
        <w:rPr>
          <w:rFonts w:asciiTheme="minorHAnsi" w:hAnsiTheme="minorHAnsi" w:cstheme="minorHAnsi"/>
        </w:rPr>
        <w:t>% planiranih prihoda</w:t>
      </w:r>
      <w:r w:rsidR="00EE4DD2">
        <w:rPr>
          <w:rFonts w:asciiTheme="minorHAnsi" w:hAnsiTheme="minorHAnsi" w:cstheme="minorHAnsi"/>
        </w:rPr>
        <w:t xml:space="preserve">. </w:t>
      </w:r>
      <w:r w:rsidR="005A5960">
        <w:rPr>
          <w:rFonts w:asciiTheme="minorHAnsi" w:hAnsiTheme="minorHAnsi" w:cstheme="minorHAnsi"/>
        </w:rPr>
        <w:t>Ovi prihodi o</w:t>
      </w:r>
      <w:r w:rsidRPr="00D95FB8">
        <w:rPr>
          <w:rFonts w:asciiTheme="minorHAnsi" w:hAnsiTheme="minorHAnsi" w:cstheme="minorHAnsi"/>
        </w:rPr>
        <w:t xml:space="preserve">dnose se na primljene donacije za nagrade sudionicima </w:t>
      </w:r>
      <w:r w:rsidR="00EE4DD2">
        <w:rPr>
          <w:rFonts w:asciiTheme="minorHAnsi" w:hAnsiTheme="minorHAnsi" w:cstheme="minorHAnsi"/>
        </w:rPr>
        <w:t xml:space="preserve">20. </w:t>
      </w:r>
      <w:r w:rsidRPr="00D95FB8">
        <w:rPr>
          <w:rFonts w:asciiTheme="minorHAnsi" w:hAnsiTheme="minorHAnsi" w:cstheme="minorHAnsi"/>
        </w:rPr>
        <w:t xml:space="preserve">Međunarodnog gudačkog natjecanja Rudolf </w:t>
      </w:r>
      <w:proofErr w:type="spellStart"/>
      <w:r w:rsidRPr="00D95FB8">
        <w:rPr>
          <w:rFonts w:asciiTheme="minorHAnsi" w:hAnsiTheme="minorHAnsi" w:cstheme="minorHAnsi"/>
        </w:rPr>
        <w:t>Matz</w:t>
      </w:r>
      <w:proofErr w:type="spellEnd"/>
      <w:r w:rsidRPr="00D95FB8">
        <w:rPr>
          <w:rFonts w:asciiTheme="minorHAnsi" w:hAnsiTheme="minorHAnsi" w:cstheme="minorHAnsi"/>
        </w:rPr>
        <w:t xml:space="preserve"> </w:t>
      </w:r>
      <w:r w:rsidR="00EE4DD2">
        <w:rPr>
          <w:rFonts w:asciiTheme="minorHAnsi" w:hAnsiTheme="minorHAnsi" w:cstheme="minorHAnsi"/>
        </w:rPr>
        <w:t>koje je održano u travnju 2025. godine</w:t>
      </w:r>
      <w:r w:rsidR="005A5960">
        <w:rPr>
          <w:rFonts w:asciiTheme="minorHAnsi" w:hAnsiTheme="minorHAnsi" w:cstheme="minorHAnsi"/>
        </w:rPr>
        <w:t xml:space="preserve">. Navedeni prihodi u 2024. godini nisu bili planirani, ali su ostvareni u iznosu od 400,00 eura kao primljena donacija glazbenog instrumenta od fizičke osobe. </w:t>
      </w:r>
    </w:p>
    <w:p w14:paraId="4CE951D0" w14:textId="3E7D310E" w:rsidR="00784253" w:rsidRPr="00121B94" w:rsidRDefault="00D95FB8" w:rsidP="0074487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630B7">
        <w:rPr>
          <w:rFonts w:asciiTheme="minorHAnsi" w:hAnsiTheme="minorHAnsi" w:cstheme="minorHAnsi"/>
        </w:rPr>
        <w:t>Skupina 67</w:t>
      </w:r>
      <w:r w:rsidR="00FE2F7C" w:rsidRPr="00F630B7">
        <w:rPr>
          <w:rFonts w:asciiTheme="minorHAnsi" w:hAnsiTheme="minorHAnsi" w:cstheme="minorHAnsi"/>
        </w:rPr>
        <w:t xml:space="preserve"> – ostvareno je </w:t>
      </w:r>
      <w:r w:rsidR="00137C70" w:rsidRPr="00F630B7">
        <w:rPr>
          <w:rFonts w:asciiTheme="minorHAnsi" w:hAnsiTheme="minorHAnsi" w:cstheme="minorHAnsi"/>
        </w:rPr>
        <w:t>100,00</w:t>
      </w:r>
      <w:r w:rsidR="00FE2F7C" w:rsidRPr="00F630B7">
        <w:rPr>
          <w:rFonts w:asciiTheme="minorHAnsi" w:hAnsiTheme="minorHAnsi" w:cstheme="minorHAnsi"/>
        </w:rPr>
        <w:t>%</w:t>
      </w:r>
      <w:r w:rsidRPr="00F630B7">
        <w:rPr>
          <w:rFonts w:asciiTheme="minorHAnsi" w:hAnsiTheme="minorHAnsi" w:cstheme="minorHAnsi"/>
        </w:rPr>
        <w:t xml:space="preserve"> planiranih prihoda i </w:t>
      </w:r>
      <w:r w:rsidR="000E4D47" w:rsidRPr="00F630B7">
        <w:rPr>
          <w:rFonts w:asciiTheme="minorHAnsi" w:hAnsiTheme="minorHAnsi" w:cstheme="minorHAnsi"/>
        </w:rPr>
        <w:t>8,</w:t>
      </w:r>
      <w:r w:rsidR="00137C70" w:rsidRPr="00F630B7">
        <w:rPr>
          <w:rFonts w:asciiTheme="minorHAnsi" w:hAnsiTheme="minorHAnsi" w:cstheme="minorHAnsi"/>
        </w:rPr>
        <w:t>97</w:t>
      </w:r>
      <w:r w:rsidRPr="00F630B7">
        <w:rPr>
          <w:rFonts w:asciiTheme="minorHAnsi" w:hAnsiTheme="minorHAnsi" w:cstheme="minorHAnsi"/>
        </w:rPr>
        <w:t>% više nego u prethodnoj</w:t>
      </w:r>
      <w:r w:rsidRPr="00D95FB8">
        <w:rPr>
          <w:rFonts w:asciiTheme="minorHAnsi" w:hAnsiTheme="minorHAnsi" w:cstheme="minorHAnsi"/>
        </w:rPr>
        <w:t xml:space="preserve"> godini.</w:t>
      </w:r>
      <w:r w:rsidR="00D96174" w:rsidRPr="00D95FB8">
        <w:rPr>
          <w:rFonts w:asciiTheme="minorHAnsi" w:hAnsiTheme="minorHAnsi" w:cstheme="minorHAnsi"/>
        </w:rPr>
        <w:t xml:space="preserve"> Navedeni prihodi odnose se na prihode iz nadležnog proračuna (</w:t>
      </w:r>
      <w:r w:rsidRPr="00D95FB8">
        <w:rPr>
          <w:rFonts w:asciiTheme="minorHAnsi" w:hAnsiTheme="minorHAnsi" w:cstheme="minorHAnsi"/>
        </w:rPr>
        <w:t>Grad Čakovec</w:t>
      </w:r>
      <w:r w:rsidR="00D96174" w:rsidRPr="00D95FB8">
        <w:rPr>
          <w:rFonts w:asciiTheme="minorHAnsi" w:hAnsiTheme="minorHAnsi" w:cstheme="minorHAnsi"/>
        </w:rPr>
        <w:t xml:space="preserve">) za materijalne </w:t>
      </w:r>
      <w:r w:rsidRPr="00D95FB8">
        <w:rPr>
          <w:rFonts w:asciiTheme="minorHAnsi" w:hAnsiTheme="minorHAnsi" w:cstheme="minorHAnsi"/>
        </w:rPr>
        <w:t>i financijske rashode</w:t>
      </w:r>
      <w:r w:rsidR="00AE7E77" w:rsidRPr="00D95FB8">
        <w:rPr>
          <w:rFonts w:asciiTheme="minorHAnsi" w:hAnsiTheme="minorHAnsi" w:cstheme="minorHAnsi"/>
        </w:rPr>
        <w:t xml:space="preserve"> u iznosu od </w:t>
      </w:r>
      <w:r w:rsidR="00137C70">
        <w:rPr>
          <w:rFonts w:asciiTheme="minorHAnsi" w:hAnsiTheme="minorHAnsi" w:cstheme="minorHAnsi"/>
        </w:rPr>
        <w:t>50.800,00</w:t>
      </w:r>
      <w:r w:rsidR="00AE7E77" w:rsidRPr="00D95FB8">
        <w:rPr>
          <w:rFonts w:asciiTheme="minorHAnsi" w:hAnsiTheme="minorHAnsi" w:cstheme="minorHAnsi"/>
        </w:rPr>
        <w:t xml:space="preserve"> </w:t>
      </w:r>
      <w:r w:rsidRPr="00D95FB8">
        <w:rPr>
          <w:rFonts w:asciiTheme="minorHAnsi" w:hAnsiTheme="minorHAnsi" w:cstheme="minorHAnsi"/>
        </w:rPr>
        <w:t>eura</w:t>
      </w:r>
      <w:r w:rsidR="00D96174" w:rsidRPr="00D95FB8">
        <w:rPr>
          <w:rFonts w:asciiTheme="minorHAnsi" w:hAnsiTheme="minorHAnsi" w:cstheme="minorHAnsi"/>
        </w:rPr>
        <w:t xml:space="preserve"> </w:t>
      </w:r>
      <w:r w:rsidRPr="00D95FB8">
        <w:rPr>
          <w:rFonts w:asciiTheme="minorHAnsi" w:hAnsiTheme="minorHAnsi" w:cstheme="minorHAnsi"/>
        </w:rPr>
        <w:t xml:space="preserve">te </w:t>
      </w:r>
      <w:r w:rsidR="00137C70">
        <w:rPr>
          <w:rFonts w:asciiTheme="minorHAnsi" w:hAnsiTheme="minorHAnsi" w:cstheme="minorHAnsi"/>
        </w:rPr>
        <w:t>1.</w:t>
      </w:r>
      <w:r w:rsidRPr="00D95FB8">
        <w:rPr>
          <w:rFonts w:asciiTheme="minorHAnsi" w:hAnsiTheme="minorHAnsi" w:cstheme="minorHAnsi"/>
        </w:rPr>
        <w:t>99</w:t>
      </w:r>
      <w:r w:rsidR="00137C70">
        <w:rPr>
          <w:rFonts w:asciiTheme="minorHAnsi" w:hAnsiTheme="minorHAnsi" w:cstheme="minorHAnsi"/>
        </w:rPr>
        <w:t>2</w:t>
      </w:r>
      <w:r w:rsidRPr="00D95FB8">
        <w:rPr>
          <w:rFonts w:asciiTheme="minorHAnsi" w:hAnsiTheme="minorHAnsi" w:cstheme="minorHAnsi"/>
        </w:rPr>
        <w:t>,00 eura za financiranje tehničke podrške.</w:t>
      </w:r>
    </w:p>
    <w:p w14:paraId="23827BC9" w14:textId="77777777" w:rsidR="00F630B7" w:rsidRDefault="00F630B7" w:rsidP="00F630B7">
      <w:pPr>
        <w:spacing w:line="360" w:lineRule="auto"/>
        <w:jc w:val="both"/>
        <w:rPr>
          <w:rFonts w:asciiTheme="minorHAnsi" w:hAnsiTheme="minorHAnsi" w:cstheme="minorHAnsi"/>
        </w:rPr>
      </w:pPr>
    </w:p>
    <w:p w14:paraId="619F0905" w14:textId="1740781D" w:rsidR="00F630B7" w:rsidRPr="00F630B7" w:rsidRDefault="00694AC2" w:rsidP="00F630B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Stanje novčanih sredstava na računu na početku proračunske (izvještajne) godine iznosi 68.586,29 eura. </w:t>
      </w:r>
      <w:r>
        <w:rPr>
          <w:rFonts w:ascii="Calibri" w:hAnsi="Calibri"/>
        </w:rPr>
        <w:t>Stanje novčanih sredstava na kraju proračunske godine</w:t>
      </w:r>
      <w:r w:rsidRPr="007B7ED8">
        <w:rPr>
          <w:rFonts w:ascii="Calibri" w:hAnsi="Calibri"/>
        </w:rPr>
        <w:t xml:space="preserve"> </w:t>
      </w:r>
      <w:r>
        <w:rPr>
          <w:rFonts w:ascii="Calibri" w:hAnsi="Calibri"/>
        </w:rPr>
        <w:t>iznosi 0,00 eura s obzirom da je poslovni račun škole zatvoren s danom 30.12.2025. radi prelaska na Jedinstveni račun Riznice, a iznos sredstava zatečen na računu prebačen na račun za posebne namjene otvoren od strane Grada Čakovca. Navedena sredstva iskazana su na šifri 167 – Potraživanja proračunskih korisnika za sredstva uplaćena u nadležni proračun i iznose 62.399,13 eura.</w:t>
      </w:r>
      <w:r>
        <w:rPr>
          <w:rFonts w:asciiTheme="minorHAnsi" w:hAnsiTheme="minorHAnsi" w:cstheme="minorHAnsi"/>
        </w:rPr>
        <w:t xml:space="preserve"> </w:t>
      </w:r>
    </w:p>
    <w:p w14:paraId="7FC0903A" w14:textId="77777777" w:rsidR="00F630B7" w:rsidRDefault="00F630B7" w:rsidP="0074487F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6676BEC2" w14:textId="4868A982" w:rsidR="00484AD4" w:rsidRPr="0006244D" w:rsidRDefault="00E0032C" w:rsidP="0074487F">
      <w:pPr>
        <w:spacing w:line="360" w:lineRule="auto"/>
        <w:rPr>
          <w:rFonts w:asciiTheme="minorHAnsi" w:hAnsiTheme="minorHAnsi" w:cstheme="minorHAnsi"/>
          <w:b/>
          <w:bCs/>
        </w:rPr>
      </w:pPr>
      <w:r w:rsidRPr="00D95FB8">
        <w:rPr>
          <w:rFonts w:asciiTheme="minorHAnsi" w:hAnsiTheme="minorHAnsi" w:cstheme="minorHAnsi"/>
          <w:b/>
          <w:bCs/>
        </w:rPr>
        <w:t>RASHODI</w:t>
      </w:r>
      <w:r w:rsidR="0052385F" w:rsidRPr="00D95FB8">
        <w:rPr>
          <w:rFonts w:asciiTheme="minorHAnsi" w:hAnsiTheme="minorHAnsi" w:cstheme="minorHAnsi"/>
          <w:b/>
          <w:bCs/>
        </w:rPr>
        <w:t xml:space="preserve"> </w:t>
      </w:r>
      <w:r w:rsidRPr="00D95FB8">
        <w:rPr>
          <w:rFonts w:asciiTheme="minorHAnsi" w:hAnsiTheme="minorHAnsi" w:cstheme="minorHAnsi"/>
          <w:b/>
          <w:bCs/>
        </w:rPr>
        <w:t xml:space="preserve"> POSLOVANJA</w:t>
      </w:r>
    </w:p>
    <w:p w14:paraId="7480F682" w14:textId="0D699E2A" w:rsidR="00484AD4" w:rsidRPr="00D95FB8" w:rsidRDefault="00484AD4" w:rsidP="00784253">
      <w:pPr>
        <w:spacing w:line="360" w:lineRule="auto"/>
        <w:jc w:val="both"/>
        <w:rPr>
          <w:rFonts w:asciiTheme="minorHAnsi" w:hAnsiTheme="minorHAnsi" w:cstheme="minorHAnsi"/>
        </w:rPr>
      </w:pPr>
      <w:r w:rsidRPr="00D95FB8">
        <w:rPr>
          <w:rFonts w:asciiTheme="minorHAnsi" w:hAnsiTheme="minorHAnsi" w:cstheme="minorHAnsi"/>
        </w:rPr>
        <w:t>Posebni dio izvješća o izvrš</w:t>
      </w:r>
      <w:r w:rsidR="00F5373F" w:rsidRPr="00D95FB8">
        <w:rPr>
          <w:rFonts w:asciiTheme="minorHAnsi" w:hAnsiTheme="minorHAnsi" w:cstheme="minorHAnsi"/>
        </w:rPr>
        <w:t xml:space="preserve">enju financijskog plana za </w:t>
      </w:r>
      <w:r w:rsidR="00D95FB8">
        <w:rPr>
          <w:rFonts w:asciiTheme="minorHAnsi" w:hAnsiTheme="minorHAnsi" w:cstheme="minorHAnsi"/>
        </w:rPr>
        <w:t>razdoblje 1.1.</w:t>
      </w:r>
      <w:r w:rsidR="00F452DB" w:rsidRPr="00D95FB8">
        <w:rPr>
          <w:rFonts w:asciiTheme="minorHAnsi" w:hAnsiTheme="minorHAnsi" w:cstheme="minorHAnsi"/>
        </w:rPr>
        <w:t xml:space="preserve"> do 3</w:t>
      </w:r>
      <w:r w:rsidR="00617D02">
        <w:rPr>
          <w:rFonts w:asciiTheme="minorHAnsi" w:hAnsiTheme="minorHAnsi" w:cstheme="minorHAnsi"/>
        </w:rPr>
        <w:t>1</w:t>
      </w:r>
      <w:r w:rsidR="00F452DB" w:rsidRPr="00D95FB8">
        <w:rPr>
          <w:rFonts w:asciiTheme="minorHAnsi" w:hAnsiTheme="minorHAnsi" w:cstheme="minorHAnsi"/>
        </w:rPr>
        <w:t>.</w:t>
      </w:r>
      <w:r w:rsidR="00617D02">
        <w:rPr>
          <w:rFonts w:asciiTheme="minorHAnsi" w:hAnsiTheme="minorHAnsi" w:cstheme="minorHAnsi"/>
        </w:rPr>
        <w:t>12</w:t>
      </w:r>
      <w:r w:rsidR="00F452DB" w:rsidRPr="00D95FB8">
        <w:rPr>
          <w:rFonts w:asciiTheme="minorHAnsi" w:hAnsiTheme="minorHAnsi" w:cstheme="minorHAnsi"/>
        </w:rPr>
        <w:t>.202</w:t>
      </w:r>
      <w:r w:rsidR="00E81DF0">
        <w:rPr>
          <w:rFonts w:asciiTheme="minorHAnsi" w:hAnsiTheme="minorHAnsi" w:cstheme="minorHAnsi"/>
        </w:rPr>
        <w:t>5</w:t>
      </w:r>
      <w:r w:rsidR="00F452DB" w:rsidRPr="00D95FB8">
        <w:rPr>
          <w:rFonts w:asciiTheme="minorHAnsi" w:hAnsiTheme="minorHAnsi" w:cstheme="minorHAnsi"/>
        </w:rPr>
        <w:t>. godine</w:t>
      </w:r>
      <w:r w:rsidR="00F5373F" w:rsidRPr="00D95FB8">
        <w:rPr>
          <w:rFonts w:asciiTheme="minorHAnsi" w:hAnsiTheme="minorHAnsi" w:cstheme="minorHAnsi"/>
        </w:rPr>
        <w:t xml:space="preserve"> sadrži </w:t>
      </w:r>
      <w:r w:rsidRPr="00D95FB8">
        <w:rPr>
          <w:rFonts w:asciiTheme="minorHAnsi" w:hAnsiTheme="minorHAnsi" w:cstheme="minorHAnsi"/>
        </w:rPr>
        <w:t>ras</w:t>
      </w:r>
      <w:r w:rsidR="008F6EA0" w:rsidRPr="00D95FB8">
        <w:rPr>
          <w:rFonts w:asciiTheme="minorHAnsi" w:hAnsiTheme="minorHAnsi" w:cstheme="minorHAnsi"/>
        </w:rPr>
        <w:t xml:space="preserve">hode razvrstane po </w:t>
      </w:r>
      <w:r w:rsidR="00063F54" w:rsidRPr="00D95FB8">
        <w:rPr>
          <w:rFonts w:asciiTheme="minorHAnsi" w:hAnsiTheme="minorHAnsi" w:cstheme="minorHAnsi"/>
        </w:rPr>
        <w:t>ekonomskoj i programskoj klasifikaciji te po izvorima financiranja.</w:t>
      </w:r>
    </w:p>
    <w:p w14:paraId="23E4BF1C" w14:textId="77777777" w:rsidR="0006244D" w:rsidRPr="00D95FB8" w:rsidRDefault="0006244D" w:rsidP="0074487F">
      <w:pPr>
        <w:spacing w:line="360" w:lineRule="auto"/>
        <w:rPr>
          <w:rFonts w:asciiTheme="minorHAnsi" w:hAnsiTheme="minorHAnsi" w:cstheme="minorHAnsi"/>
        </w:rPr>
      </w:pPr>
    </w:p>
    <w:p w14:paraId="40D61189" w14:textId="1047E5EC" w:rsidR="00547FC4" w:rsidRPr="00D95FB8" w:rsidRDefault="00174350" w:rsidP="0074487F">
      <w:pPr>
        <w:spacing w:line="360" w:lineRule="auto"/>
        <w:rPr>
          <w:rFonts w:asciiTheme="minorHAnsi" w:hAnsiTheme="minorHAnsi" w:cstheme="minorHAnsi"/>
          <w:b/>
        </w:rPr>
      </w:pPr>
      <w:r w:rsidRPr="00D95FB8">
        <w:rPr>
          <w:rFonts w:asciiTheme="minorHAnsi" w:hAnsiTheme="minorHAnsi" w:cstheme="minorHAnsi"/>
          <w:b/>
          <w:bCs/>
        </w:rPr>
        <w:t xml:space="preserve">Aktivnost </w:t>
      </w:r>
      <w:r w:rsidR="00250B7E">
        <w:rPr>
          <w:rFonts w:asciiTheme="minorHAnsi" w:hAnsiTheme="minorHAnsi" w:cstheme="minorHAnsi"/>
          <w:b/>
          <w:bCs/>
        </w:rPr>
        <w:t>A102401</w:t>
      </w:r>
      <w:r w:rsidR="00547FC4" w:rsidRPr="00D95FB8">
        <w:rPr>
          <w:rFonts w:asciiTheme="minorHAnsi" w:hAnsiTheme="minorHAnsi" w:cstheme="minorHAnsi"/>
          <w:b/>
        </w:rPr>
        <w:t xml:space="preserve"> </w:t>
      </w:r>
      <w:r w:rsidR="00250B7E">
        <w:rPr>
          <w:rFonts w:asciiTheme="minorHAnsi" w:hAnsiTheme="minorHAnsi" w:cstheme="minorHAnsi"/>
          <w:b/>
        </w:rPr>
        <w:t>Materijalni i financijski rashodi</w:t>
      </w:r>
    </w:p>
    <w:p w14:paraId="75C859E1" w14:textId="1263E996" w:rsidR="001F3081" w:rsidRPr="001F3081" w:rsidRDefault="00250B7E" w:rsidP="001F308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Sredstva za ovu</w:t>
      </w:r>
      <w:r w:rsidR="00040B56" w:rsidRPr="00D95FB8">
        <w:rPr>
          <w:rFonts w:asciiTheme="minorHAnsi" w:hAnsiTheme="minorHAnsi" w:cstheme="minorHAnsi"/>
        </w:rPr>
        <w:t xml:space="preserve"> aktivnost ostvar</w:t>
      </w:r>
      <w:r>
        <w:rPr>
          <w:rFonts w:asciiTheme="minorHAnsi" w:hAnsiTheme="minorHAnsi" w:cstheme="minorHAnsi"/>
        </w:rPr>
        <w:t>ena</w:t>
      </w:r>
      <w:r w:rsidR="00040B56" w:rsidRPr="00D95F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su iz </w:t>
      </w:r>
      <w:r w:rsidR="00040B56" w:rsidRPr="00D95FB8">
        <w:rPr>
          <w:rFonts w:asciiTheme="minorHAnsi" w:hAnsiTheme="minorHAnsi" w:cstheme="minorHAnsi"/>
        </w:rPr>
        <w:t>nadležnog proračuna</w:t>
      </w:r>
      <w:r w:rsidR="007B1869" w:rsidRPr="00D95FB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Grada Čakovca (izvor 11</w:t>
      </w:r>
      <w:r w:rsidR="00174350" w:rsidRPr="00D95FB8">
        <w:rPr>
          <w:rFonts w:asciiTheme="minorHAnsi" w:hAnsiTheme="minorHAnsi" w:cstheme="minorHAnsi"/>
        </w:rPr>
        <w:t>)</w:t>
      </w:r>
      <w:r w:rsidR="00040B56" w:rsidRPr="00D95FB8">
        <w:rPr>
          <w:rFonts w:asciiTheme="minorHAnsi" w:hAnsiTheme="minorHAnsi" w:cstheme="minorHAnsi"/>
        </w:rPr>
        <w:t xml:space="preserve">, a </w:t>
      </w:r>
      <w:r>
        <w:rPr>
          <w:rFonts w:asciiTheme="minorHAnsi" w:hAnsiTheme="minorHAnsi" w:cstheme="minorHAnsi"/>
        </w:rPr>
        <w:t>namijenjena su za pokriće materijalnih i financijskih rashoda</w:t>
      </w:r>
      <w:r w:rsidR="00040B56" w:rsidRPr="00D95FB8">
        <w:rPr>
          <w:rFonts w:asciiTheme="minorHAnsi" w:hAnsiTheme="minorHAnsi" w:cstheme="minorHAnsi"/>
        </w:rPr>
        <w:t>.</w:t>
      </w:r>
      <w:r w:rsidR="00AB0EE2" w:rsidRPr="00D95FB8">
        <w:rPr>
          <w:rFonts w:asciiTheme="minorHAnsi" w:hAnsiTheme="minorHAnsi" w:cstheme="minorHAnsi"/>
        </w:rPr>
        <w:t xml:space="preserve"> Ostvareno je </w:t>
      </w:r>
      <w:r w:rsidR="00673D0C">
        <w:rPr>
          <w:rFonts w:asciiTheme="minorHAnsi" w:hAnsiTheme="minorHAnsi" w:cstheme="minorHAnsi"/>
        </w:rPr>
        <w:t>100,00</w:t>
      </w:r>
      <w:r w:rsidR="00AB0EE2" w:rsidRPr="00D95FB8">
        <w:rPr>
          <w:rFonts w:asciiTheme="minorHAnsi" w:hAnsiTheme="minorHAnsi" w:cstheme="minorHAnsi"/>
        </w:rPr>
        <w:t>% rashoda u odnosu na f</w:t>
      </w:r>
      <w:r>
        <w:rPr>
          <w:rFonts w:asciiTheme="minorHAnsi" w:hAnsiTheme="minorHAnsi" w:cstheme="minorHAnsi"/>
        </w:rPr>
        <w:t>inancijski plan za 202</w:t>
      </w:r>
      <w:r w:rsidR="00E81DF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godinu i </w:t>
      </w:r>
      <w:r w:rsidR="003E5810">
        <w:rPr>
          <w:rFonts w:asciiTheme="minorHAnsi" w:hAnsiTheme="minorHAnsi" w:cstheme="minorHAnsi"/>
        </w:rPr>
        <w:t>9,35</w:t>
      </w:r>
      <w:r>
        <w:rPr>
          <w:rFonts w:asciiTheme="minorHAnsi" w:hAnsiTheme="minorHAnsi" w:cstheme="minorHAnsi"/>
        </w:rPr>
        <w:t>% više nego u istom izvještajnom razdoblju prethodne godine što je određeno Odlukom Grada Čakovca.</w:t>
      </w:r>
    </w:p>
    <w:p w14:paraId="02DDA398" w14:textId="414E5965" w:rsidR="00174350" w:rsidRPr="00D95FB8" w:rsidRDefault="00174350" w:rsidP="0074487F">
      <w:pPr>
        <w:spacing w:line="360" w:lineRule="auto"/>
        <w:rPr>
          <w:rFonts w:asciiTheme="minorHAnsi" w:hAnsiTheme="minorHAnsi" w:cstheme="minorHAnsi"/>
        </w:rPr>
      </w:pPr>
      <w:r w:rsidRPr="00D95FB8">
        <w:rPr>
          <w:rFonts w:asciiTheme="minorHAnsi" w:hAnsiTheme="minorHAnsi" w:cstheme="minorHAnsi"/>
          <w:b/>
          <w:bCs/>
        </w:rPr>
        <w:lastRenderedPageBreak/>
        <w:t xml:space="preserve">Aktivnost </w:t>
      </w:r>
      <w:r w:rsidR="00250B7E">
        <w:rPr>
          <w:rFonts w:asciiTheme="minorHAnsi" w:hAnsiTheme="minorHAnsi" w:cstheme="minorHAnsi"/>
          <w:b/>
          <w:bCs/>
        </w:rPr>
        <w:t>A103512 Osnovne škole-rashodi za plaće i ostala materijalna prava</w:t>
      </w:r>
    </w:p>
    <w:p w14:paraId="4E7EE540" w14:textId="7122E616" w:rsidR="00547FC4" w:rsidRPr="00D95FB8" w:rsidRDefault="00174350" w:rsidP="00784253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D95FB8">
        <w:rPr>
          <w:rFonts w:asciiTheme="minorHAnsi" w:hAnsiTheme="minorHAnsi" w:cstheme="minorHAnsi"/>
          <w:bCs/>
        </w:rPr>
        <w:t xml:space="preserve">U izvještajnom razdoblju ostvareno je </w:t>
      </w:r>
      <w:r w:rsidR="003E5810">
        <w:rPr>
          <w:rFonts w:asciiTheme="minorHAnsi" w:hAnsiTheme="minorHAnsi" w:cstheme="minorHAnsi"/>
          <w:bCs/>
        </w:rPr>
        <w:t>99,03</w:t>
      </w:r>
      <w:r w:rsidRPr="00D95FB8">
        <w:rPr>
          <w:rFonts w:asciiTheme="minorHAnsi" w:hAnsiTheme="minorHAnsi" w:cstheme="minorHAnsi"/>
          <w:bCs/>
        </w:rPr>
        <w:t>% planiranih</w:t>
      </w:r>
      <w:r w:rsidR="000727ED" w:rsidRPr="00D95FB8">
        <w:rPr>
          <w:rFonts w:asciiTheme="minorHAnsi" w:hAnsiTheme="minorHAnsi" w:cstheme="minorHAnsi"/>
          <w:bCs/>
        </w:rPr>
        <w:t xml:space="preserve"> </w:t>
      </w:r>
      <w:r w:rsidR="00250B7E">
        <w:rPr>
          <w:rFonts w:asciiTheme="minorHAnsi" w:hAnsiTheme="minorHAnsi" w:cstheme="minorHAnsi"/>
          <w:bCs/>
        </w:rPr>
        <w:t xml:space="preserve">rashoda, a </w:t>
      </w:r>
      <w:r w:rsidR="003E5810">
        <w:rPr>
          <w:rFonts w:asciiTheme="minorHAnsi" w:hAnsiTheme="minorHAnsi" w:cstheme="minorHAnsi"/>
          <w:bCs/>
        </w:rPr>
        <w:t>19,08</w:t>
      </w:r>
      <w:r w:rsidR="00250B7E">
        <w:rPr>
          <w:rFonts w:asciiTheme="minorHAnsi" w:hAnsiTheme="minorHAnsi" w:cstheme="minorHAnsi"/>
          <w:bCs/>
        </w:rPr>
        <w:t xml:space="preserve">% više nego prethodne godine zbog </w:t>
      </w:r>
      <w:r w:rsidR="007C0233">
        <w:rPr>
          <w:rFonts w:ascii="Calibri" w:hAnsi="Calibri"/>
        </w:rPr>
        <w:t>povećanja osnovice za obračun plaće uslijed donošenja Odluke o visini osnovice za obračun plaće u javnim službama u 2025. godini (NN 155/24)</w:t>
      </w:r>
      <w:r w:rsidR="00250B7E">
        <w:rPr>
          <w:rFonts w:asciiTheme="minorHAnsi" w:hAnsiTheme="minorHAnsi" w:cstheme="minorHAnsi"/>
          <w:bCs/>
        </w:rPr>
        <w:t xml:space="preserve"> te </w:t>
      </w:r>
      <w:r w:rsidR="007C0233">
        <w:rPr>
          <w:rFonts w:asciiTheme="minorHAnsi" w:hAnsiTheme="minorHAnsi" w:cstheme="minorHAnsi"/>
          <w:bCs/>
        </w:rPr>
        <w:t xml:space="preserve">povećanja iznosa </w:t>
      </w:r>
      <w:r w:rsidR="00250B7E">
        <w:rPr>
          <w:rFonts w:asciiTheme="minorHAnsi" w:hAnsiTheme="minorHAnsi" w:cstheme="minorHAnsi"/>
          <w:bCs/>
        </w:rPr>
        <w:t>nekih materijalnih prava.</w:t>
      </w:r>
      <w:r w:rsidRPr="00D95FB8">
        <w:rPr>
          <w:rFonts w:asciiTheme="minorHAnsi" w:hAnsiTheme="minorHAnsi" w:cstheme="minorHAnsi"/>
          <w:bCs/>
        </w:rPr>
        <w:t xml:space="preserve"> </w:t>
      </w:r>
      <w:r w:rsidR="00AF06A9" w:rsidRPr="00EB42E9">
        <w:rPr>
          <w:rFonts w:ascii="Calibri" w:hAnsi="Calibri"/>
        </w:rPr>
        <w:t xml:space="preserve">Po </w:t>
      </w:r>
      <w:r w:rsidR="00AF06A9">
        <w:rPr>
          <w:rFonts w:ascii="Calibri" w:hAnsi="Calibri"/>
        </w:rPr>
        <w:t xml:space="preserve">ovom </w:t>
      </w:r>
      <w:r w:rsidR="00AF06A9" w:rsidRPr="00EB42E9">
        <w:rPr>
          <w:rFonts w:ascii="Calibri" w:hAnsi="Calibri"/>
        </w:rPr>
        <w:t xml:space="preserve">izvoru </w:t>
      </w:r>
      <w:r w:rsidR="00AF06A9">
        <w:rPr>
          <w:rFonts w:ascii="Calibri" w:hAnsi="Calibri"/>
        </w:rPr>
        <w:t>(</w:t>
      </w:r>
      <w:r w:rsidR="00AF06A9" w:rsidRPr="00EB42E9">
        <w:rPr>
          <w:rFonts w:ascii="Calibri" w:hAnsi="Calibri"/>
        </w:rPr>
        <w:t>5</w:t>
      </w:r>
      <w:r w:rsidR="00AF06A9">
        <w:rPr>
          <w:rFonts w:ascii="Calibri" w:hAnsi="Calibri"/>
        </w:rPr>
        <w:t>3</w:t>
      </w:r>
      <w:r w:rsidR="00AF06A9" w:rsidRPr="00EB42E9">
        <w:rPr>
          <w:rFonts w:ascii="Calibri" w:hAnsi="Calibri"/>
        </w:rPr>
        <w:t>1-Tekuće pomoći proračunskim korisnicima iz proračuna koji im nije nadležan</w:t>
      </w:r>
      <w:r w:rsidR="00AF06A9">
        <w:rPr>
          <w:rFonts w:ascii="Calibri" w:hAnsi="Calibri"/>
        </w:rPr>
        <w:t>)</w:t>
      </w:r>
      <w:r w:rsidR="00AF06A9" w:rsidRPr="00EB42E9">
        <w:rPr>
          <w:rFonts w:ascii="Calibri" w:hAnsi="Calibri"/>
        </w:rPr>
        <w:t>, ostvaren je manjak prihoda poslovanja u iznosu od 95.194,55 eura. Navedeni manjak odnosi se na rashode za plaće i naknade zaposlenika za mjesec prosinac 2025. godine i predstavlja metodološki manjak koji će se pokriti u siječnju 2026. godine kada će biti evidentiran prihod za navedene rashode.</w:t>
      </w:r>
    </w:p>
    <w:p w14:paraId="6B44DA61" w14:textId="4B7A9EF8" w:rsidR="000727ED" w:rsidRPr="00D95FB8" w:rsidRDefault="000727ED" w:rsidP="0074487F">
      <w:pPr>
        <w:spacing w:line="360" w:lineRule="auto"/>
        <w:rPr>
          <w:rFonts w:asciiTheme="minorHAnsi" w:hAnsiTheme="minorHAnsi" w:cstheme="minorHAnsi"/>
          <w:bCs/>
        </w:rPr>
      </w:pPr>
    </w:p>
    <w:p w14:paraId="1B72FF82" w14:textId="0FD3B164" w:rsidR="00547FC4" w:rsidRPr="00D95FB8" w:rsidRDefault="000727ED" w:rsidP="0074487F">
      <w:pPr>
        <w:spacing w:line="360" w:lineRule="auto"/>
        <w:rPr>
          <w:rFonts w:asciiTheme="minorHAnsi" w:hAnsiTheme="minorHAnsi" w:cstheme="minorHAnsi"/>
          <w:b/>
        </w:rPr>
      </w:pPr>
      <w:r w:rsidRPr="00D95FB8">
        <w:rPr>
          <w:rFonts w:asciiTheme="minorHAnsi" w:hAnsiTheme="minorHAnsi" w:cstheme="minorHAnsi"/>
          <w:b/>
        </w:rPr>
        <w:t xml:space="preserve">Aktivnost </w:t>
      </w:r>
      <w:r w:rsidR="00250B7E">
        <w:rPr>
          <w:rFonts w:asciiTheme="minorHAnsi" w:hAnsiTheme="minorHAnsi" w:cstheme="minorHAnsi"/>
          <w:b/>
        </w:rPr>
        <w:t>A103502 Programi školstva</w:t>
      </w:r>
    </w:p>
    <w:p w14:paraId="3FB448EA" w14:textId="38D0AD40" w:rsidR="00FC3BE1" w:rsidRPr="00D95FB8" w:rsidRDefault="00FC3BE1" w:rsidP="00784253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D95FB8">
        <w:rPr>
          <w:rFonts w:asciiTheme="minorHAnsi" w:hAnsiTheme="minorHAnsi" w:cstheme="minorHAnsi"/>
          <w:bCs/>
        </w:rPr>
        <w:t xml:space="preserve">Aktivnost </w:t>
      </w:r>
      <w:r w:rsidR="00250B7E">
        <w:rPr>
          <w:rFonts w:asciiTheme="minorHAnsi" w:hAnsiTheme="minorHAnsi" w:cstheme="minorHAnsi"/>
          <w:bCs/>
        </w:rPr>
        <w:t>Programi školstva</w:t>
      </w:r>
      <w:r w:rsidRPr="00D95FB8">
        <w:rPr>
          <w:rFonts w:asciiTheme="minorHAnsi" w:hAnsiTheme="minorHAnsi" w:cstheme="minorHAnsi"/>
          <w:bCs/>
        </w:rPr>
        <w:t xml:space="preserve"> financira se iz sljedećih izvora:</w:t>
      </w:r>
    </w:p>
    <w:p w14:paraId="26C1E182" w14:textId="09DD4D03" w:rsidR="00547FC4" w:rsidRPr="00D95FB8" w:rsidRDefault="00547FC4" w:rsidP="00784253">
      <w:pPr>
        <w:spacing w:line="360" w:lineRule="auto"/>
        <w:jc w:val="both"/>
        <w:rPr>
          <w:rFonts w:asciiTheme="minorHAnsi" w:hAnsiTheme="minorHAnsi" w:cstheme="minorHAnsi"/>
        </w:rPr>
      </w:pPr>
      <w:r w:rsidRPr="00D95FB8">
        <w:rPr>
          <w:rFonts w:asciiTheme="minorHAnsi" w:hAnsiTheme="minorHAnsi" w:cstheme="minorHAnsi"/>
        </w:rPr>
        <w:t xml:space="preserve">- </w:t>
      </w:r>
      <w:r w:rsidR="00FC3BE1" w:rsidRPr="00D95FB8">
        <w:rPr>
          <w:rFonts w:asciiTheme="minorHAnsi" w:hAnsiTheme="minorHAnsi" w:cstheme="minorHAnsi"/>
        </w:rPr>
        <w:t>vlastiti prihodi</w:t>
      </w:r>
      <w:r w:rsidRPr="00D95FB8">
        <w:rPr>
          <w:rFonts w:asciiTheme="minorHAnsi" w:hAnsiTheme="minorHAnsi" w:cstheme="minorHAnsi"/>
        </w:rPr>
        <w:t xml:space="preserve"> (izvor 31) </w:t>
      </w:r>
      <w:r w:rsidR="00FC3BE1" w:rsidRPr="00D95FB8">
        <w:rPr>
          <w:rFonts w:asciiTheme="minorHAnsi" w:hAnsiTheme="minorHAnsi" w:cstheme="minorHAnsi"/>
        </w:rPr>
        <w:t>-</w:t>
      </w:r>
      <w:r w:rsidRPr="00D95FB8">
        <w:rPr>
          <w:rFonts w:asciiTheme="minorHAnsi" w:hAnsiTheme="minorHAnsi" w:cstheme="minorHAnsi"/>
        </w:rPr>
        <w:t xml:space="preserve"> prihodi od </w:t>
      </w:r>
      <w:r w:rsidR="005834A0">
        <w:rPr>
          <w:rFonts w:asciiTheme="minorHAnsi" w:hAnsiTheme="minorHAnsi" w:cstheme="minorHAnsi"/>
        </w:rPr>
        <w:t xml:space="preserve">kamate banke po transakcijskom računu te su rashodi financirani iz ovih sredstava ostvareni u visini od </w:t>
      </w:r>
      <w:r w:rsidR="000B2BBA">
        <w:rPr>
          <w:rFonts w:asciiTheme="minorHAnsi" w:hAnsiTheme="minorHAnsi" w:cstheme="minorHAnsi"/>
        </w:rPr>
        <w:t>123,48</w:t>
      </w:r>
      <w:r w:rsidR="005834A0">
        <w:rPr>
          <w:rFonts w:asciiTheme="minorHAnsi" w:hAnsiTheme="minorHAnsi" w:cstheme="minorHAnsi"/>
        </w:rPr>
        <w:t>% u odnosu na plan za 202</w:t>
      </w:r>
      <w:r w:rsidR="00AA0C60">
        <w:rPr>
          <w:rFonts w:asciiTheme="minorHAnsi" w:hAnsiTheme="minorHAnsi" w:cstheme="minorHAnsi"/>
        </w:rPr>
        <w:t>5</w:t>
      </w:r>
      <w:r w:rsidR="005834A0">
        <w:rPr>
          <w:rFonts w:asciiTheme="minorHAnsi" w:hAnsiTheme="minorHAnsi" w:cstheme="minorHAnsi"/>
        </w:rPr>
        <w:t>. godinu</w:t>
      </w:r>
    </w:p>
    <w:p w14:paraId="3F359FA5" w14:textId="5F815EA5" w:rsidR="008D73CD" w:rsidRDefault="00FC3BE1" w:rsidP="00784253">
      <w:pPr>
        <w:spacing w:line="360" w:lineRule="auto"/>
        <w:jc w:val="both"/>
        <w:rPr>
          <w:rFonts w:ascii="Calibri" w:hAnsi="Calibri"/>
        </w:rPr>
      </w:pPr>
      <w:r w:rsidRPr="00D95FB8">
        <w:rPr>
          <w:rFonts w:asciiTheme="minorHAnsi" w:hAnsiTheme="minorHAnsi" w:cstheme="minorHAnsi"/>
        </w:rPr>
        <w:t xml:space="preserve">- </w:t>
      </w:r>
      <w:r w:rsidR="005834A0">
        <w:rPr>
          <w:rFonts w:asciiTheme="minorHAnsi" w:hAnsiTheme="minorHAnsi" w:cstheme="minorHAnsi"/>
        </w:rPr>
        <w:t>prihodi iz proračuna Grada Čakovca (izvor 11</w:t>
      </w:r>
      <w:r w:rsidR="00D922A1">
        <w:rPr>
          <w:rFonts w:asciiTheme="minorHAnsi" w:hAnsiTheme="minorHAnsi" w:cstheme="minorHAnsi"/>
        </w:rPr>
        <w:t xml:space="preserve"> i izvor 581</w:t>
      </w:r>
      <w:r w:rsidRPr="00D95FB8">
        <w:rPr>
          <w:rFonts w:asciiTheme="minorHAnsi" w:hAnsiTheme="minorHAnsi" w:cstheme="minorHAnsi"/>
        </w:rPr>
        <w:t xml:space="preserve">) </w:t>
      </w:r>
      <w:r w:rsidR="005834A0">
        <w:rPr>
          <w:rFonts w:asciiTheme="minorHAnsi" w:hAnsiTheme="minorHAnsi" w:cstheme="minorHAnsi"/>
        </w:rPr>
        <w:t>– u 202</w:t>
      </w:r>
      <w:r w:rsidR="008D73CD">
        <w:rPr>
          <w:rFonts w:asciiTheme="minorHAnsi" w:hAnsiTheme="minorHAnsi" w:cstheme="minorHAnsi"/>
        </w:rPr>
        <w:t>5</w:t>
      </w:r>
      <w:r w:rsidR="005834A0">
        <w:rPr>
          <w:rFonts w:asciiTheme="minorHAnsi" w:hAnsiTheme="minorHAnsi" w:cstheme="minorHAnsi"/>
        </w:rPr>
        <w:t>. su</w:t>
      </w:r>
      <w:r w:rsidRPr="00D95FB8">
        <w:rPr>
          <w:rFonts w:asciiTheme="minorHAnsi" w:hAnsiTheme="minorHAnsi" w:cstheme="minorHAnsi"/>
        </w:rPr>
        <w:t xml:space="preserve"> </w:t>
      </w:r>
      <w:r w:rsidR="005834A0">
        <w:rPr>
          <w:rFonts w:asciiTheme="minorHAnsi" w:hAnsiTheme="minorHAnsi" w:cstheme="minorHAnsi"/>
        </w:rPr>
        <w:t>iz ovog izvora financirani rashodi za tehničku podršku</w:t>
      </w:r>
      <w:r w:rsidR="008D73CD">
        <w:rPr>
          <w:rFonts w:asciiTheme="minorHAnsi" w:hAnsiTheme="minorHAnsi" w:cstheme="minorHAnsi"/>
        </w:rPr>
        <w:t xml:space="preserve"> (izvor 11)</w:t>
      </w:r>
      <w:r w:rsidR="005834A0">
        <w:rPr>
          <w:rFonts w:asciiTheme="minorHAnsi" w:hAnsiTheme="minorHAnsi" w:cstheme="minorHAnsi"/>
        </w:rPr>
        <w:t xml:space="preserve"> i</w:t>
      </w:r>
      <w:r w:rsidR="008D73CD">
        <w:rPr>
          <w:rFonts w:asciiTheme="minorHAnsi" w:hAnsiTheme="minorHAnsi" w:cstheme="minorHAnsi"/>
        </w:rPr>
        <w:t xml:space="preserve"> rashodi</w:t>
      </w:r>
      <w:r w:rsidR="005834A0">
        <w:rPr>
          <w:rFonts w:asciiTheme="minorHAnsi" w:hAnsiTheme="minorHAnsi" w:cstheme="minorHAnsi"/>
        </w:rPr>
        <w:t xml:space="preserve"> </w:t>
      </w:r>
      <w:r w:rsidR="008D73CD">
        <w:rPr>
          <w:rFonts w:ascii="Calibri" w:hAnsi="Calibri"/>
        </w:rPr>
        <w:t xml:space="preserve">za nabavu opreme za zaštitu vrata i glavnog ulaza uslijed donošenja osnovnih sigurnosnih mjera za škole (zaključavanje škole), rashodi za projekt „I ja to želim“ i rashodi za 20. Međunarodno gudačko natjecanje Rudolf </w:t>
      </w:r>
      <w:proofErr w:type="spellStart"/>
      <w:r w:rsidR="008D73CD">
        <w:rPr>
          <w:rFonts w:ascii="Calibri" w:hAnsi="Calibri"/>
        </w:rPr>
        <w:t>Matz</w:t>
      </w:r>
      <w:proofErr w:type="spellEnd"/>
      <w:r w:rsidR="008D73CD">
        <w:rPr>
          <w:rFonts w:ascii="Calibri" w:hAnsi="Calibri"/>
        </w:rPr>
        <w:t xml:space="preserve"> (izvor 581). Po izvoru 11 ostvareno je </w:t>
      </w:r>
      <w:r w:rsidR="001F0A51">
        <w:rPr>
          <w:rFonts w:ascii="Calibri" w:hAnsi="Calibri"/>
        </w:rPr>
        <w:t>100,00</w:t>
      </w:r>
      <w:r w:rsidR="008D73CD">
        <w:rPr>
          <w:rFonts w:ascii="Calibri" w:hAnsi="Calibri"/>
        </w:rPr>
        <w:t xml:space="preserve">% planiranih rashoda, dok je po izvoru 581 ostvareno </w:t>
      </w:r>
      <w:r w:rsidR="001F0A51">
        <w:rPr>
          <w:rFonts w:ascii="Calibri" w:hAnsi="Calibri"/>
        </w:rPr>
        <w:t>98,26</w:t>
      </w:r>
      <w:r w:rsidR="008D73CD">
        <w:rPr>
          <w:rFonts w:ascii="Calibri" w:hAnsi="Calibri"/>
        </w:rPr>
        <w:t>% planiranih rashoda</w:t>
      </w:r>
      <w:r w:rsidR="001F0A51">
        <w:rPr>
          <w:rFonts w:ascii="Calibri" w:hAnsi="Calibri"/>
        </w:rPr>
        <w:t xml:space="preserve">. </w:t>
      </w:r>
    </w:p>
    <w:p w14:paraId="129EF4CA" w14:textId="7AF732EB" w:rsidR="00C257D3" w:rsidRDefault="00C257D3" w:rsidP="00784253">
      <w:pPr>
        <w:spacing w:line="360" w:lineRule="auto"/>
        <w:jc w:val="both"/>
        <w:rPr>
          <w:rFonts w:asciiTheme="minorHAnsi" w:hAnsiTheme="minorHAnsi" w:cstheme="minorHAnsi"/>
        </w:rPr>
      </w:pPr>
      <w:r w:rsidRPr="005834A0">
        <w:rPr>
          <w:rFonts w:asciiTheme="minorHAnsi" w:hAnsiTheme="minorHAnsi" w:cstheme="minorHAnsi"/>
        </w:rPr>
        <w:t>- donacije (izvor 61</w:t>
      </w:r>
      <w:r w:rsidR="008D73CD">
        <w:rPr>
          <w:rFonts w:asciiTheme="minorHAnsi" w:hAnsiTheme="minorHAnsi" w:cstheme="minorHAnsi"/>
        </w:rPr>
        <w:t>1</w:t>
      </w:r>
      <w:r w:rsidRPr="005834A0">
        <w:rPr>
          <w:rFonts w:asciiTheme="minorHAnsi" w:hAnsiTheme="minorHAnsi" w:cstheme="minorHAnsi"/>
        </w:rPr>
        <w:t xml:space="preserve">) </w:t>
      </w:r>
      <w:r w:rsidR="008D73CD">
        <w:rPr>
          <w:rFonts w:asciiTheme="minorHAnsi" w:hAnsiTheme="minorHAnsi" w:cstheme="minorHAnsi"/>
        </w:rPr>
        <w:t>–</w:t>
      </w:r>
      <w:r w:rsidRPr="005834A0">
        <w:rPr>
          <w:rFonts w:asciiTheme="minorHAnsi" w:hAnsiTheme="minorHAnsi" w:cstheme="minorHAnsi"/>
        </w:rPr>
        <w:t xml:space="preserve"> </w:t>
      </w:r>
      <w:r w:rsidR="008D73CD">
        <w:rPr>
          <w:rFonts w:asciiTheme="minorHAnsi" w:hAnsiTheme="minorHAnsi" w:cstheme="minorHAnsi"/>
        </w:rPr>
        <w:t xml:space="preserve">ostvareno je </w:t>
      </w:r>
      <w:r w:rsidR="001F0A51">
        <w:rPr>
          <w:rFonts w:asciiTheme="minorHAnsi" w:hAnsiTheme="minorHAnsi" w:cstheme="minorHAnsi"/>
        </w:rPr>
        <w:t>100,00</w:t>
      </w:r>
      <w:r w:rsidR="008D73CD">
        <w:rPr>
          <w:rFonts w:asciiTheme="minorHAnsi" w:hAnsiTheme="minorHAnsi" w:cstheme="minorHAnsi"/>
        </w:rPr>
        <w:t>% planiranih rashoda</w:t>
      </w:r>
      <w:r w:rsidR="005834A0" w:rsidRPr="005834A0">
        <w:rPr>
          <w:rFonts w:asciiTheme="minorHAnsi" w:hAnsiTheme="minorHAnsi" w:cstheme="minorHAnsi"/>
        </w:rPr>
        <w:t xml:space="preserve">, </w:t>
      </w:r>
      <w:r w:rsidR="008D73CD">
        <w:rPr>
          <w:rFonts w:asciiTheme="minorHAnsi" w:hAnsiTheme="minorHAnsi" w:cstheme="minorHAnsi"/>
        </w:rPr>
        <w:t xml:space="preserve">zbog primljenih </w:t>
      </w:r>
      <w:r w:rsidR="005834A0" w:rsidRPr="005834A0">
        <w:rPr>
          <w:rFonts w:asciiTheme="minorHAnsi" w:hAnsiTheme="minorHAnsi" w:cstheme="minorHAnsi"/>
        </w:rPr>
        <w:t>donacij</w:t>
      </w:r>
      <w:r w:rsidR="008D73CD">
        <w:rPr>
          <w:rFonts w:asciiTheme="minorHAnsi" w:hAnsiTheme="minorHAnsi" w:cstheme="minorHAnsi"/>
        </w:rPr>
        <w:t>a</w:t>
      </w:r>
      <w:r w:rsidR="005834A0" w:rsidRPr="005834A0">
        <w:rPr>
          <w:rFonts w:asciiTheme="minorHAnsi" w:hAnsiTheme="minorHAnsi" w:cstheme="minorHAnsi"/>
        </w:rPr>
        <w:t xml:space="preserve"> za nagrade sudionicima </w:t>
      </w:r>
      <w:r w:rsidR="008D73CD">
        <w:rPr>
          <w:rFonts w:asciiTheme="minorHAnsi" w:hAnsiTheme="minorHAnsi" w:cstheme="minorHAnsi"/>
        </w:rPr>
        <w:t xml:space="preserve">20. </w:t>
      </w:r>
      <w:r w:rsidR="005834A0" w:rsidRPr="005834A0">
        <w:rPr>
          <w:rFonts w:asciiTheme="minorHAnsi" w:hAnsiTheme="minorHAnsi" w:cstheme="minorHAnsi"/>
        </w:rPr>
        <w:t xml:space="preserve">Međunarodnog gudačkog natjecanja Rudolf </w:t>
      </w:r>
      <w:proofErr w:type="spellStart"/>
      <w:r w:rsidR="005834A0" w:rsidRPr="005834A0">
        <w:rPr>
          <w:rFonts w:asciiTheme="minorHAnsi" w:hAnsiTheme="minorHAnsi" w:cstheme="minorHAnsi"/>
        </w:rPr>
        <w:t>Matz</w:t>
      </w:r>
      <w:proofErr w:type="spellEnd"/>
      <w:r w:rsidR="005834A0">
        <w:rPr>
          <w:rFonts w:asciiTheme="minorHAnsi" w:hAnsiTheme="minorHAnsi" w:cstheme="minorHAnsi"/>
        </w:rPr>
        <w:t xml:space="preserve"> kojeg smo bili domaćin</w:t>
      </w:r>
    </w:p>
    <w:p w14:paraId="6DE53D2D" w14:textId="7EF36902" w:rsidR="00CD2856" w:rsidRPr="00D95FB8" w:rsidRDefault="00CD2856" w:rsidP="00784253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prihodi od prodaje ili zamjene nefinancijske imovine i naknade s naslova osiguranja (izvor 71)- </w:t>
      </w:r>
      <w:r w:rsidR="00CF7690">
        <w:rPr>
          <w:rFonts w:asciiTheme="minorHAnsi" w:hAnsiTheme="minorHAnsi" w:cstheme="minorHAnsi"/>
        </w:rPr>
        <w:t xml:space="preserve">prihodi po ovom izvoru za 2025. godinu nisu bili planirani, ali su ostvareni zbog isplate odštetnog iznosa od strane osiguranja zbog oštećenja na rampi od strane korisnika osiguranja. Prihodi i rashodi ostvareni su u iznosu od 656,25 eura. </w:t>
      </w:r>
    </w:p>
    <w:p w14:paraId="2C6E249A" w14:textId="044735AC" w:rsidR="00D317E2" w:rsidRDefault="00547FC4" w:rsidP="00784253">
      <w:pPr>
        <w:pStyle w:val="Tijeloteksta2"/>
        <w:spacing w:line="360" w:lineRule="auto"/>
        <w:jc w:val="both"/>
        <w:rPr>
          <w:rFonts w:ascii="Calibri" w:hAnsi="Calibri"/>
          <w:color w:val="FF0000"/>
        </w:rPr>
      </w:pPr>
      <w:r w:rsidRPr="00D95FB8">
        <w:rPr>
          <w:rFonts w:asciiTheme="minorHAnsi" w:hAnsiTheme="minorHAnsi" w:cstheme="minorHAnsi"/>
        </w:rPr>
        <w:t xml:space="preserve">- </w:t>
      </w:r>
      <w:r w:rsidR="00C257D3" w:rsidRPr="00D95FB8">
        <w:rPr>
          <w:rFonts w:asciiTheme="minorHAnsi" w:hAnsiTheme="minorHAnsi" w:cstheme="minorHAnsi"/>
        </w:rPr>
        <w:t>ostali prihodi za posebne namjene</w:t>
      </w:r>
      <w:r w:rsidRPr="00D95FB8">
        <w:rPr>
          <w:rFonts w:asciiTheme="minorHAnsi" w:hAnsiTheme="minorHAnsi" w:cstheme="minorHAnsi"/>
        </w:rPr>
        <w:t xml:space="preserve"> (izvor 43</w:t>
      </w:r>
      <w:r w:rsidR="001F0A51">
        <w:rPr>
          <w:rFonts w:asciiTheme="minorHAnsi" w:hAnsiTheme="minorHAnsi" w:cstheme="minorHAnsi"/>
        </w:rPr>
        <w:t>1</w:t>
      </w:r>
      <w:r w:rsidRPr="00D95FB8">
        <w:rPr>
          <w:rFonts w:asciiTheme="minorHAnsi" w:hAnsiTheme="minorHAnsi" w:cstheme="minorHAnsi"/>
        </w:rPr>
        <w:t xml:space="preserve">) </w:t>
      </w:r>
      <w:r w:rsidR="005834A0">
        <w:rPr>
          <w:rFonts w:asciiTheme="minorHAnsi" w:hAnsiTheme="minorHAnsi" w:cstheme="minorHAnsi"/>
        </w:rPr>
        <w:t>–</w:t>
      </w:r>
      <w:r w:rsidRPr="00D95FB8">
        <w:rPr>
          <w:rFonts w:asciiTheme="minorHAnsi" w:hAnsiTheme="minorHAnsi" w:cstheme="minorHAnsi"/>
        </w:rPr>
        <w:t xml:space="preserve"> </w:t>
      </w:r>
      <w:r w:rsidR="005834A0">
        <w:rPr>
          <w:rFonts w:asciiTheme="minorHAnsi" w:hAnsiTheme="minorHAnsi" w:cstheme="minorHAnsi"/>
        </w:rPr>
        <w:t>odnosi se na pri</w:t>
      </w:r>
      <w:r w:rsidR="00B21E33">
        <w:rPr>
          <w:rFonts w:asciiTheme="minorHAnsi" w:hAnsiTheme="minorHAnsi" w:cstheme="minorHAnsi"/>
        </w:rPr>
        <w:t>hode od participacija učenika</w:t>
      </w:r>
      <w:r w:rsidR="00F74A3F">
        <w:rPr>
          <w:rFonts w:asciiTheme="minorHAnsi" w:hAnsiTheme="minorHAnsi" w:cstheme="minorHAnsi"/>
        </w:rPr>
        <w:t xml:space="preserve">, </w:t>
      </w:r>
      <w:r w:rsidR="005834A0" w:rsidRPr="00D95FB8">
        <w:rPr>
          <w:rFonts w:asciiTheme="minorHAnsi" w:hAnsiTheme="minorHAnsi" w:cstheme="minorHAnsi"/>
        </w:rPr>
        <w:t>uplate korisnika za polaganj</w:t>
      </w:r>
      <w:r w:rsidR="001F0A51">
        <w:rPr>
          <w:rFonts w:asciiTheme="minorHAnsi" w:hAnsiTheme="minorHAnsi" w:cstheme="minorHAnsi"/>
        </w:rPr>
        <w:t>e</w:t>
      </w:r>
      <w:r w:rsidR="005834A0" w:rsidRPr="00D95FB8">
        <w:rPr>
          <w:rFonts w:asciiTheme="minorHAnsi" w:hAnsiTheme="minorHAnsi" w:cstheme="minorHAnsi"/>
        </w:rPr>
        <w:t xml:space="preserve"> ispita prema osobnim potrebama</w:t>
      </w:r>
      <w:r w:rsidR="00F74A3F">
        <w:rPr>
          <w:rFonts w:asciiTheme="minorHAnsi" w:hAnsiTheme="minorHAnsi" w:cstheme="minorHAnsi"/>
        </w:rPr>
        <w:t xml:space="preserve"> te na prihode od kotizacija natjecatelja Međunarodnog gudačkog natjecanja R. </w:t>
      </w:r>
      <w:proofErr w:type="spellStart"/>
      <w:r w:rsidR="00F74A3F">
        <w:rPr>
          <w:rFonts w:asciiTheme="minorHAnsi" w:hAnsiTheme="minorHAnsi" w:cstheme="minorHAnsi"/>
        </w:rPr>
        <w:t>Matz</w:t>
      </w:r>
      <w:proofErr w:type="spellEnd"/>
      <w:r w:rsidR="00F74A3F">
        <w:rPr>
          <w:rFonts w:asciiTheme="minorHAnsi" w:hAnsiTheme="minorHAnsi" w:cstheme="minorHAnsi"/>
        </w:rPr>
        <w:t xml:space="preserve">. </w:t>
      </w:r>
      <w:r w:rsidR="00B21E33">
        <w:rPr>
          <w:rFonts w:asciiTheme="minorHAnsi" w:hAnsiTheme="minorHAnsi" w:cstheme="minorHAnsi"/>
        </w:rPr>
        <w:t xml:space="preserve">Rashodi poslovanja financirani iz ovog izvora ostvareni su u visini od </w:t>
      </w:r>
      <w:r w:rsidR="001F0A51">
        <w:rPr>
          <w:rFonts w:asciiTheme="minorHAnsi" w:hAnsiTheme="minorHAnsi" w:cstheme="minorHAnsi"/>
        </w:rPr>
        <w:t>79,84</w:t>
      </w:r>
      <w:r w:rsidR="00B21E33">
        <w:rPr>
          <w:rFonts w:asciiTheme="minorHAnsi" w:hAnsiTheme="minorHAnsi" w:cstheme="minorHAnsi"/>
        </w:rPr>
        <w:t>% financijskog plana za 202</w:t>
      </w:r>
      <w:r w:rsidR="005C56FF">
        <w:rPr>
          <w:rFonts w:asciiTheme="minorHAnsi" w:hAnsiTheme="minorHAnsi" w:cstheme="minorHAnsi"/>
        </w:rPr>
        <w:t>5</w:t>
      </w:r>
      <w:r w:rsidR="00B21E33">
        <w:rPr>
          <w:rFonts w:asciiTheme="minorHAnsi" w:hAnsiTheme="minorHAnsi" w:cstheme="minorHAnsi"/>
        </w:rPr>
        <w:t xml:space="preserve">. godinu, a </w:t>
      </w:r>
      <w:r w:rsidR="00D2110D">
        <w:rPr>
          <w:rFonts w:asciiTheme="minorHAnsi" w:hAnsiTheme="minorHAnsi" w:cstheme="minorHAnsi"/>
        </w:rPr>
        <w:t>22,93</w:t>
      </w:r>
      <w:r w:rsidR="00B21E33">
        <w:rPr>
          <w:rFonts w:asciiTheme="minorHAnsi" w:hAnsiTheme="minorHAnsi" w:cstheme="minorHAnsi"/>
        </w:rPr>
        <w:t xml:space="preserve">% </w:t>
      </w:r>
      <w:r w:rsidR="005C56FF">
        <w:rPr>
          <w:rFonts w:asciiTheme="minorHAnsi" w:hAnsiTheme="minorHAnsi" w:cstheme="minorHAnsi"/>
        </w:rPr>
        <w:t>više</w:t>
      </w:r>
      <w:r w:rsidR="00B21E33">
        <w:rPr>
          <w:rFonts w:asciiTheme="minorHAnsi" w:hAnsiTheme="minorHAnsi" w:cstheme="minorHAnsi"/>
        </w:rPr>
        <w:t xml:space="preserve"> nego u 202</w:t>
      </w:r>
      <w:r w:rsidR="005C56FF">
        <w:rPr>
          <w:rFonts w:asciiTheme="minorHAnsi" w:hAnsiTheme="minorHAnsi" w:cstheme="minorHAnsi"/>
        </w:rPr>
        <w:t>4</w:t>
      </w:r>
      <w:r w:rsidR="00B21E33">
        <w:rPr>
          <w:rFonts w:asciiTheme="minorHAnsi" w:hAnsiTheme="minorHAnsi" w:cstheme="minorHAnsi"/>
        </w:rPr>
        <w:t xml:space="preserve">. godini. Iz ovih sredstava financira se i nabava dugotrajne nefinancijske imovine </w:t>
      </w:r>
      <w:r w:rsidR="00B21E33">
        <w:rPr>
          <w:rFonts w:asciiTheme="minorHAnsi" w:hAnsiTheme="minorHAnsi" w:cstheme="minorHAnsi"/>
        </w:rPr>
        <w:lastRenderedPageBreak/>
        <w:t xml:space="preserve">te je u izvještajnom razdoblju realizirano </w:t>
      </w:r>
      <w:r w:rsidR="00D2110D">
        <w:rPr>
          <w:rFonts w:asciiTheme="minorHAnsi" w:hAnsiTheme="minorHAnsi" w:cstheme="minorHAnsi"/>
        </w:rPr>
        <w:t>49,64</w:t>
      </w:r>
      <w:r w:rsidR="00B21E33">
        <w:rPr>
          <w:rFonts w:asciiTheme="minorHAnsi" w:hAnsiTheme="minorHAnsi" w:cstheme="minorHAnsi"/>
        </w:rPr>
        <w:t>% nabavki planiranih financijskim planom za 202</w:t>
      </w:r>
      <w:r w:rsidR="005C56FF">
        <w:rPr>
          <w:rFonts w:asciiTheme="minorHAnsi" w:hAnsiTheme="minorHAnsi" w:cstheme="minorHAnsi"/>
        </w:rPr>
        <w:t>5</w:t>
      </w:r>
      <w:r w:rsidR="00B21E33">
        <w:rPr>
          <w:rFonts w:asciiTheme="minorHAnsi" w:hAnsiTheme="minorHAnsi" w:cstheme="minorHAnsi"/>
        </w:rPr>
        <w:t>. dok je u odnosu na 202</w:t>
      </w:r>
      <w:r w:rsidR="005C56FF">
        <w:rPr>
          <w:rFonts w:asciiTheme="minorHAnsi" w:hAnsiTheme="minorHAnsi" w:cstheme="minorHAnsi"/>
        </w:rPr>
        <w:t>4</w:t>
      </w:r>
      <w:r w:rsidR="00B21E33">
        <w:rPr>
          <w:rFonts w:asciiTheme="minorHAnsi" w:hAnsiTheme="minorHAnsi" w:cstheme="minorHAnsi"/>
        </w:rPr>
        <w:t xml:space="preserve">. izvršenje </w:t>
      </w:r>
      <w:r w:rsidR="00D2110D">
        <w:rPr>
          <w:rFonts w:asciiTheme="minorHAnsi" w:hAnsiTheme="minorHAnsi" w:cstheme="minorHAnsi"/>
        </w:rPr>
        <w:t>veće za 120,21</w:t>
      </w:r>
      <w:r w:rsidR="00B21E33">
        <w:rPr>
          <w:rFonts w:asciiTheme="minorHAnsi" w:hAnsiTheme="minorHAnsi" w:cstheme="minorHAnsi"/>
        </w:rPr>
        <w:t xml:space="preserve">% radi </w:t>
      </w:r>
      <w:r w:rsidR="005C56FF">
        <w:rPr>
          <w:rFonts w:asciiTheme="minorHAnsi" w:hAnsiTheme="minorHAnsi" w:cstheme="minorHAnsi"/>
        </w:rPr>
        <w:t xml:space="preserve"> značajnijih ulaganja obavljenih u 202</w:t>
      </w:r>
      <w:r w:rsidR="00D2110D">
        <w:rPr>
          <w:rFonts w:asciiTheme="minorHAnsi" w:hAnsiTheme="minorHAnsi" w:cstheme="minorHAnsi"/>
        </w:rPr>
        <w:t>5</w:t>
      </w:r>
      <w:r w:rsidR="005C56FF">
        <w:rPr>
          <w:rFonts w:asciiTheme="minorHAnsi" w:hAnsiTheme="minorHAnsi" w:cstheme="minorHAnsi"/>
        </w:rPr>
        <w:t>. godini</w:t>
      </w:r>
      <w:r w:rsidR="00DA7735">
        <w:rPr>
          <w:rFonts w:asciiTheme="minorHAnsi" w:hAnsiTheme="minorHAnsi" w:cstheme="minorHAnsi"/>
        </w:rPr>
        <w:t xml:space="preserve">: </w:t>
      </w:r>
      <w:r w:rsidR="00D70E0A">
        <w:rPr>
          <w:rFonts w:asciiTheme="minorHAnsi" w:hAnsiTheme="minorHAnsi" w:cstheme="minorHAnsi"/>
        </w:rPr>
        <w:t xml:space="preserve">nabavka novih </w:t>
      </w:r>
      <w:r w:rsidR="00D70E0A">
        <w:rPr>
          <w:rFonts w:ascii="Calibri" w:hAnsi="Calibri"/>
        </w:rPr>
        <w:t>glazbenih instrumenata (klavir, električni klavir, instrumenti za puhački orkestar, manja harmonika)</w:t>
      </w:r>
      <w:r w:rsidR="00DA7735">
        <w:rPr>
          <w:rFonts w:ascii="Calibri" w:hAnsi="Calibri"/>
        </w:rPr>
        <w:t xml:space="preserve">; </w:t>
      </w:r>
      <w:r w:rsidR="00D70E0A">
        <w:rPr>
          <w:rFonts w:ascii="Calibri" w:hAnsi="Calibri"/>
        </w:rPr>
        <w:t>uredske opreme (stolno računalo s opremom, pametne-interaktivne ploče za dvije učionice, uredski stolovi za novi prostor područnog odjela)</w:t>
      </w:r>
      <w:r w:rsidR="00DA7735">
        <w:rPr>
          <w:rFonts w:ascii="Calibri" w:hAnsi="Calibri"/>
        </w:rPr>
        <w:t>;</w:t>
      </w:r>
      <w:r w:rsidR="00D70E0A">
        <w:rPr>
          <w:rFonts w:ascii="Calibri" w:hAnsi="Calibri"/>
        </w:rPr>
        <w:t xml:space="preserve">  opreme za ostale namjene (plesni pod, ogledala većih dimenzija za novu učionicu baleta) i knjiga (nota za puhački orkestar i gitaru). Bilo je planirano više nabavki, ali je dio prolongiran za naredno razdoblje.</w:t>
      </w:r>
      <w:r w:rsidR="00AF06A9">
        <w:rPr>
          <w:rFonts w:ascii="Calibri" w:hAnsi="Calibri"/>
        </w:rPr>
        <w:t xml:space="preserve"> P</w:t>
      </w:r>
      <w:r w:rsidR="00AF06A9" w:rsidRPr="00EB42E9">
        <w:rPr>
          <w:rFonts w:ascii="Calibri" w:hAnsi="Calibri"/>
        </w:rPr>
        <w:t xml:space="preserve">o </w:t>
      </w:r>
      <w:r w:rsidR="00AF06A9">
        <w:rPr>
          <w:rFonts w:ascii="Calibri" w:hAnsi="Calibri"/>
        </w:rPr>
        <w:t>ovom</w:t>
      </w:r>
      <w:r w:rsidR="00AF06A9" w:rsidRPr="00EB42E9">
        <w:rPr>
          <w:rFonts w:ascii="Calibri" w:hAnsi="Calibri"/>
        </w:rPr>
        <w:t xml:space="preserve"> izvoru </w:t>
      </w:r>
      <w:r w:rsidR="00AF06A9">
        <w:rPr>
          <w:rFonts w:ascii="Calibri" w:hAnsi="Calibri"/>
        </w:rPr>
        <w:t xml:space="preserve">je </w:t>
      </w:r>
      <w:r w:rsidR="00AF06A9" w:rsidRPr="00EB42E9">
        <w:rPr>
          <w:rFonts w:ascii="Calibri" w:hAnsi="Calibri"/>
        </w:rPr>
        <w:t>ostvaren višak prihoda poslovanja u iznosu od 92.754,04 eura i manjak prihoda od nefinancijske imovine u iznosu od 34.804,71 eura. Navedeni manjak prihoda od nefinancijske imovine pokrit će se viškom prihoda poslovanja donošenjem Odluke o raspodjeli rezultata i bit će ostvaren višak u iznosu od 57.949,33 eura.</w:t>
      </w:r>
      <w:r w:rsidR="007164AD">
        <w:rPr>
          <w:rFonts w:ascii="Calibri" w:hAnsi="Calibri"/>
        </w:rPr>
        <w:t xml:space="preserve"> Navedeni </w:t>
      </w:r>
      <w:r w:rsidR="007164AD" w:rsidRPr="005B6634">
        <w:rPr>
          <w:rFonts w:ascii="Calibri" w:hAnsi="Calibri"/>
        </w:rPr>
        <w:t xml:space="preserve">višak </w:t>
      </w:r>
      <w:r w:rsidR="00BB65C7" w:rsidRPr="005B6634">
        <w:rPr>
          <w:rFonts w:ascii="Calibri" w:hAnsi="Calibri"/>
        </w:rPr>
        <w:t xml:space="preserve">u narednom razdoblju </w:t>
      </w:r>
      <w:r w:rsidR="00533684" w:rsidRPr="005B6634">
        <w:rPr>
          <w:rFonts w:ascii="Calibri" w:hAnsi="Calibri"/>
        </w:rPr>
        <w:t>racionalno</w:t>
      </w:r>
      <w:r w:rsidR="007164AD" w:rsidRPr="005B6634">
        <w:rPr>
          <w:rFonts w:ascii="Calibri" w:hAnsi="Calibri"/>
        </w:rPr>
        <w:t xml:space="preserve"> će se</w:t>
      </w:r>
      <w:r w:rsidR="00533684" w:rsidRPr="005B6634">
        <w:rPr>
          <w:rFonts w:ascii="Calibri" w:hAnsi="Calibri"/>
        </w:rPr>
        <w:t xml:space="preserve"> koristiti.</w:t>
      </w:r>
    </w:p>
    <w:p w14:paraId="3AE2B079" w14:textId="77777777" w:rsidR="00BA561F" w:rsidRDefault="00BA561F" w:rsidP="00784253">
      <w:pPr>
        <w:pStyle w:val="Tijeloteksta2"/>
        <w:spacing w:line="360" w:lineRule="auto"/>
        <w:jc w:val="both"/>
        <w:rPr>
          <w:rFonts w:ascii="Calibri" w:hAnsi="Calibri"/>
          <w:color w:val="FF0000"/>
        </w:rPr>
      </w:pPr>
    </w:p>
    <w:p w14:paraId="7D9984C1" w14:textId="33E589DD" w:rsidR="00D317E2" w:rsidRDefault="00D317E2" w:rsidP="00D317E2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IZVJEŠTAJ O STANJU POTRAŽIVANJA I DOSPJELIH OBVEZA</w:t>
      </w:r>
      <w:r w:rsidR="00BA561F">
        <w:rPr>
          <w:rFonts w:asciiTheme="minorHAnsi" w:hAnsiTheme="minorHAnsi" w:cstheme="minorHAnsi"/>
          <w:b/>
          <w:bCs/>
        </w:rPr>
        <w:t xml:space="preserve"> TE O STANJU POTENCIJALNIH OBVEZA PO OSNOVI SUDSKIH SPOROVA</w:t>
      </w:r>
    </w:p>
    <w:p w14:paraId="418FD1CE" w14:textId="303AE130" w:rsidR="00D317E2" w:rsidRDefault="00D317E2" w:rsidP="00D317E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Podaci o stanju nenaplaćenih potraživanja na kraju godine obuhvaćaju:</w:t>
      </w:r>
    </w:p>
    <w:p w14:paraId="5DDDC73A" w14:textId="69B6CB42" w:rsidR="000C5E2D" w:rsidRDefault="000C5E2D" w:rsidP="000C5E2D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0C5E2D">
        <w:rPr>
          <w:rFonts w:asciiTheme="minorHAnsi" w:hAnsiTheme="minorHAnsi" w:cstheme="minorHAnsi"/>
        </w:rPr>
        <w:t xml:space="preserve">potraživanja za tekuće pomoći proračunskim korisnicima iz proračuna </w:t>
      </w:r>
      <w:r>
        <w:rPr>
          <w:rFonts w:asciiTheme="minorHAnsi" w:hAnsiTheme="minorHAnsi" w:cstheme="minorHAnsi"/>
        </w:rPr>
        <w:t>koji im nije nadležan (plaća i materijalna prava za 12/2025) u iznosu od 95.194,55 eura</w:t>
      </w:r>
    </w:p>
    <w:p w14:paraId="24A08BA7" w14:textId="75F6AC72" w:rsidR="000C5E2D" w:rsidRDefault="000C5E2D" w:rsidP="000C5E2D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potraživanja za prihode od participacija učenika u iznosu od 1.340,00 eura</w:t>
      </w:r>
    </w:p>
    <w:p w14:paraId="1DAB0031" w14:textId="6FC02E84" w:rsidR="000C5E2D" w:rsidRDefault="000C5E2D" w:rsidP="000C5E2D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potraživanja za naknade koje se refundiraju (bolovanje na teret HZZO-a) u iznosu od 508,54 eura</w:t>
      </w:r>
    </w:p>
    <w:p w14:paraId="3AC57337" w14:textId="691788D9" w:rsidR="000C5E2D" w:rsidRDefault="000C5E2D" w:rsidP="000C5E2D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potraživanja za predujmove (plaćanje predujma za smještaj na službenom putu) u iznosu od 281,00 euro</w:t>
      </w:r>
    </w:p>
    <w:p w14:paraId="46E9E8D7" w14:textId="6B0A6E07" w:rsidR="000C5E2D" w:rsidRDefault="000C5E2D" w:rsidP="000C5E2D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potraživanja za više plaćeni porez i prirez na dohodak u iznosu od 683,25 eura</w:t>
      </w:r>
    </w:p>
    <w:p w14:paraId="0A2C00F3" w14:textId="71EDDFA5" w:rsidR="000C5E2D" w:rsidRDefault="000C5E2D" w:rsidP="000C5E2D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potraživanja za prihode proračunskih korisnika uplaćene u proračun u iznosu od 62.399,13 eura</w:t>
      </w:r>
    </w:p>
    <w:p w14:paraId="28D1DE8A" w14:textId="386DA450" w:rsidR="004B0D0D" w:rsidRPr="00B03671" w:rsidRDefault="002E5642" w:rsidP="00B0367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Sve dospjele obveze podmirene su u izvještajnom razdoblju, tako da se obveze na dan 31.12.2025. odnose </w:t>
      </w:r>
      <w:r>
        <w:rPr>
          <w:rFonts w:ascii="Calibri" w:hAnsi="Calibri"/>
        </w:rPr>
        <w:t>na nedospjele obveze koje će biti podmirene u siječnju 2026. godine.</w:t>
      </w:r>
      <w:r w:rsidR="00BA561F">
        <w:rPr>
          <w:rFonts w:ascii="Calibri" w:hAnsi="Calibri"/>
        </w:rPr>
        <w:t xml:space="preserve"> Također, Škola nema potencijalnih obveza po osnovi sudskih sporova</w:t>
      </w:r>
      <w:r w:rsidR="00667F56">
        <w:rPr>
          <w:rFonts w:ascii="Calibri" w:hAnsi="Calibri"/>
        </w:rPr>
        <w:t xml:space="preserve"> na kraju proračunske godine </w:t>
      </w:r>
      <w:r w:rsidR="00BA561F">
        <w:rPr>
          <w:rFonts w:ascii="Calibri" w:hAnsi="Calibri"/>
        </w:rPr>
        <w:t>jer nema sudsk</w:t>
      </w:r>
      <w:r w:rsidR="00667F56">
        <w:rPr>
          <w:rFonts w:ascii="Calibri" w:hAnsi="Calibri"/>
        </w:rPr>
        <w:t>ih</w:t>
      </w:r>
      <w:r w:rsidR="00BA561F">
        <w:rPr>
          <w:rFonts w:ascii="Calibri" w:hAnsi="Calibri"/>
        </w:rPr>
        <w:t xml:space="preserve"> sporov</w:t>
      </w:r>
      <w:r w:rsidR="00667F56">
        <w:rPr>
          <w:rFonts w:ascii="Calibri" w:hAnsi="Calibri"/>
        </w:rPr>
        <w:t>a</w:t>
      </w:r>
      <w:r w:rsidR="00BA561F">
        <w:rPr>
          <w:rFonts w:ascii="Calibri" w:hAnsi="Calibri"/>
        </w:rPr>
        <w:t xml:space="preserve"> u tijeku.</w:t>
      </w:r>
    </w:p>
    <w:p w14:paraId="35000F2E" w14:textId="77777777" w:rsidR="001F3081" w:rsidRDefault="001F3081" w:rsidP="0006244D">
      <w:pPr>
        <w:pStyle w:val="Tijeloteksta2"/>
        <w:spacing w:line="360" w:lineRule="auto"/>
        <w:rPr>
          <w:rFonts w:ascii="Calibri" w:hAnsi="Calibri"/>
        </w:rPr>
      </w:pPr>
    </w:p>
    <w:p w14:paraId="0C828463" w14:textId="0E37FDE9" w:rsidR="004B0D0D" w:rsidRPr="001F3081" w:rsidRDefault="004B0D0D" w:rsidP="0006244D">
      <w:pPr>
        <w:pStyle w:val="Tijeloteksta2"/>
        <w:spacing w:line="360" w:lineRule="auto"/>
        <w:rPr>
          <w:rFonts w:ascii="Calibri" w:hAnsi="Calibri"/>
        </w:rPr>
      </w:pPr>
      <w:r w:rsidRPr="001F3081">
        <w:rPr>
          <w:rFonts w:ascii="Calibri" w:hAnsi="Calibri"/>
        </w:rPr>
        <w:lastRenderedPageBreak/>
        <w:t xml:space="preserve">U Čakovcu, </w:t>
      </w:r>
      <w:r w:rsidR="001F3081" w:rsidRPr="001F3081">
        <w:rPr>
          <w:rFonts w:ascii="Calibri" w:hAnsi="Calibri"/>
        </w:rPr>
        <w:t>5</w:t>
      </w:r>
      <w:r w:rsidR="00A05AE6" w:rsidRPr="001F3081">
        <w:rPr>
          <w:rFonts w:ascii="Calibri" w:hAnsi="Calibri"/>
        </w:rPr>
        <w:t>.</w:t>
      </w:r>
      <w:r w:rsidR="00773251">
        <w:rPr>
          <w:rFonts w:ascii="Calibri" w:hAnsi="Calibri"/>
        </w:rPr>
        <w:t xml:space="preserve"> </w:t>
      </w:r>
      <w:r w:rsidR="001F3081" w:rsidRPr="001F3081">
        <w:rPr>
          <w:rFonts w:ascii="Calibri" w:hAnsi="Calibri"/>
        </w:rPr>
        <w:t>3</w:t>
      </w:r>
      <w:r w:rsidR="00A05AE6" w:rsidRPr="001F3081">
        <w:rPr>
          <w:rFonts w:ascii="Calibri" w:hAnsi="Calibri"/>
        </w:rPr>
        <w:t>.</w:t>
      </w:r>
      <w:r w:rsidR="00773251">
        <w:rPr>
          <w:rFonts w:ascii="Calibri" w:hAnsi="Calibri"/>
        </w:rPr>
        <w:t xml:space="preserve"> </w:t>
      </w:r>
      <w:r w:rsidR="00A05AE6" w:rsidRPr="001F3081">
        <w:rPr>
          <w:rFonts w:ascii="Calibri" w:hAnsi="Calibri"/>
        </w:rPr>
        <w:t>2026</w:t>
      </w:r>
      <w:r w:rsidRPr="001F3081">
        <w:rPr>
          <w:rFonts w:ascii="Calibri" w:hAnsi="Calibri"/>
        </w:rPr>
        <w:t>.</w:t>
      </w:r>
    </w:p>
    <w:p w14:paraId="079EE6EF" w14:textId="77777777" w:rsidR="004B0D0D" w:rsidRPr="00B21E33" w:rsidRDefault="004B0D0D" w:rsidP="0006244D">
      <w:pPr>
        <w:pStyle w:val="Tijeloteksta2"/>
        <w:spacing w:line="360" w:lineRule="auto"/>
        <w:rPr>
          <w:rFonts w:ascii="Calibri" w:hAnsi="Calibri"/>
        </w:rPr>
      </w:pPr>
    </w:p>
    <w:p w14:paraId="16274A19" w14:textId="3AD0DBB7" w:rsidR="00547FC4" w:rsidRDefault="00533684" w:rsidP="00533684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PREDSJEDNIK ŠKOLSKOG ODBORA:</w:t>
      </w:r>
    </w:p>
    <w:p w14:paraId="1D91DABC" w14:textId="11254673" w:rsidR="00547FC4" w:rsidRPr="00D95FB8" w:rsidRDefault="00533684" w:rsidP="00A92A4D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Vjeran Vidović, prof.</w:t>
      </w:r>
    </w:p>
    <w:p w14:paraId="170C39AA" w14:textId="4B0CDF16" w:rsidR="00547FC4" w:rsidRPr="00D95FB8" w:rsidRDefault="00547FC4" w:rsidP="00484AD4">
      <w:pPr>
        <w:rPr>
          <w:rFonts w:asciiTheme="minorHAnsi" w:hAnsiTheme="minorHAnsi" w:cstheme="minorHAnsi"/>
          <w:sz w:val="22"/>
          <w:szCs w:val="22"/>
        </w:rPr>
      </w:pPr>
    </w:p>
    <w:p w14:paraId="47D72EE6" w14:textId="252F1A94" w:rsidR="00547FC4" w:rsidRPr="00D95FB8" w:rsidRDefault="00547FC4" w:rsidP="00484AD4">
      <w:pPr>
        <w:rPr>
          <w:rFonts w:asciiTheme="minorHAnsi" w:hAnsiTheme="minorHAnsi" w:cstheme="minorHAnsi"/>
          <w:sz w:val="22"/>
          <w:szCs w:val="22"/>
        </w:rPr>
      </w:pPr>
    </w:p>
    <w:p w14:paraId="1B1B5E42" w14:textId="03FBD030" w:rsidR="00547FC4" w:rsidRPr="00D95FB8" w:rsidRDefault="00547FC4" w:rsidP="00484AD4">
      <w:pPr>
        <w:rPr>
          <w:rFonts w:asciiTheme="minorHAnsi" w:hAnsiTheme="minorHAnsi" w:cstheme="minorHAnsi"/>
          <w:sz w:val="22"/>
          <w:szCs w:val="22"/>
        </w:rPr>
      </w:pPr>
    </w:p>
    <w:p w14:paraId="6E6E7C7A" w14:textId="77777777" w:rsidR="00547FC4" w:rsidRPr="00D95FB8" w:rsidRDefault="00547FC4" w:rsidP="00484AD4">
      <w:pPr>
        <w:rPr>
          <w:rFonts w:asciiTheme="minorHAnsi" w:hAnsiTheme="minorHAnsi" w:cstheme="minorHAnsi"/>
          <w:sz w:val="22"/>
          <w:szCs w:val="22"/>
        </w:rPr>
      </w:pPr>
    </w:p>
    <w:p w14:paraId="38679502" w14:textId="77777777" w:rsidR="00547FC4" w:rsidRPr="00D95FB8" w:rsidRDefault="00547FC4" w:rsidP="00484AD4">
      <w:pPr>
        <w:rPr>
          <w:rFonts w:asciiTheme="minorHAnsi" w:hAnsiTheme="minorHAnsi" w:cstheme="minorHAnsi"/>
          <w:sz w:val="22"/>
          <w:szCs w:val="22"/>
        </w:rPr>
      </w:pPr>
    </w:p>
    <w:p w14:paraId="4657E584" w14:textId="77777777" w:rsidR="00A341BC" w:rsidRPr="00D95FB8" w:rsidRDefault="00A341BC" w:rsidP="00A37C89">
      <w:pPr>
        <w:rPr>
          <w:rFonts w:asciiTheme="minorHAnsi" w:hAnsiTheme="minorHAnsi" w:cstheme="minorHAnsi"/>
          <w:sz w:val="22"/>
          <w:szCs w:val="22"/>
        </w:rPr>
      </w:pPr>
    </w:p>
    <w:p w14:paraId="7E605AA7" w14:textId="77777777" w:rsidR="00A37C89" w:rsidRPr="00D95FB8" w:rsidRDefault="00A37C89" w:rsidP="00A37C89">
      <w:pPr>
        <w:rPr>
          <w:rFonts w:asciiTheme="minorHAnsi" w:hAnsiTheme="minorHAnsi" w:cstheme="minorHAnsi"/>
          <w:sz w:val="22"/>
          <w:szCs w:val="22"/>
        </w:rPr>
      </w:pPr>
    </w:p>
    <w:sectPr w:rsidR="00A37C89" w:rsidRPr="00D95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0222"/>
    <w:multiLevelType w:val="hybridMultilevel"/>
    <w:tmpl w:val="EF3E9CE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C5FE5"/>
    <w:multiLevelType w:val="hybridMultilevel"/>
    <w:tmpl w:val="26F01400"/>
    <w:lvl w:ilvl="0" w:tplc="B04CF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A2B56"/>
    <w:multiLevelType w:val="hybridMultilevel"/>
    <w:tmpl w:val="34C6E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2048"/>
    <w:multiLevelType w:val="hybridMultilevel"/>
    <w:tmpl w:val="F6E20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653E"/>
    <w:multiLevelType w:val="hybridMultilevel"/>
    <w:tmpl w:val="09DE01FC"/>
    <w:lvl w:ilvl="0" w:tplc="5488645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96755"/>
    <w:multiLevelType w:val="hybridMultilevel"/>
    <w:tmpl w:val="ED7C3A3C"/>
    <w:lvl w:ilvl="0" w:tplc="23165E2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0A7DEF"/>
    <w:multiLevelType w:val="hybridMultilevel"/>
    <w:tmpl w:val="1BE20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F4569"/>
    <w:multiLevelType w:val="hybridMultilevel"/>
    <w:tmpl w:val="80001D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D2960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DF"/>
    <w:rsid w:val="00040B56"/>
    <w:rsid w:val="00043E78"/>
    <w:rsid w:val="000457AC"/>
    <w:rsid w:val="0004607A"/>
    <w:rsid w:val="00047CAD"/>
    <w:rsid w:val="0006244D"/>
    <w:rsid w:val="00063F54"/>
    <w:rsid w:val="000727ED"/>
    <w:rsid w:val="00090698"/>
    <w:rsid w:val="000939A6"/>
    <w:rsid w:val="000B2BBA"/>
    <w:rsid w:val="000C1267"/>
    <w:rsid w:val="000C5E2D"/>
    <w:rsid w:val="000D7186"/>
    <w:rsid w:val="000E4D47"/>
    <w:rsid w:val="000F6492"/>
    <w:rsid w:val="00121B94"/>
    <w:rsid w:val="00137C70"/>
    <w:rsid w:val="001531A5"/>
    <w:rsid w:val="00170DA6"/>
    <w:rsid w:val="00174350"/>
    <w:rsid w:val="00176A4B"/>
    <w:rsid w:val="001D577D"/>
    <w:rsid w:val="001F0A51"/>
    <w:rsid w:val="001F3081"/>
    <w:rsid w:val="00203803"/>
    <w:rsid w:val="0024149C"/>
    <w:rsid w:val="00250B7E"/>
    <w:rsid w:val="002929AF"/>
    <w:rsid w:val="00297D32"/>
    <w:rsid w:val="002E5642"/>
    <w:rsid w:val="002F0FA3"/>
    <w:rsid w:val="002F5ABA"/>
    <w:rsid w:val="00301885"/>
    <w:rsid w:val="00392F3C"/>
    <w:rsid w:val="00393B35"/>
    <w:rsid w:val="003A6A7F"/>
    <w:rsid w:val="003A77DF"/>
    <w:rsid w:val="003E5810"/>
    <w:rsid w:val="00405BB2"/>
    <w:rsid w:val="00433EE0"/>
    <w:rsid w:val="00456311"/>
    <w:rsid w:val="00466280"/>
    <w:rsid w:val="00484AD4"/>
    <w:rsid w:val="00487A97"/>
    <w:rsid w:val="004A5BFA"/>
    <w:rsid w:val="004B0D0D"/>
    <w:rsid w:val="0052385F"/>
    <w:rsid w:val="00524003"/>
    <w:rsid w:val="00533684"/>
    <w:rsid w:val="00547FC4"/>
    <w:rsid w:val="00551088"/>
    <w:rsid w:val="005834A0"/>
    <w:rsid w:val="005927A6"/>
    <w:rsid w:val="005A5960"/>
    <w:rsid w:val="005B6634"/>
    <w:rsid w:val="005C56FF"/>
    <w:rsid w:val="005C6473"/>
    <w:rsid w:val="005D1199"/>
    <w:rsid w:val="00605109"/>
    <w:rsid w:val="00617D02"/>
    <w:rsid w:val="00620454"/>
    <w:rsid w:val="00622841"/>
    <w:rsid w:val="006327FE"/>
    <w:rsid w:val="00667F56"/>
    <w:rsid w:val="0067056F"/>
    <w:rsid w:val="00673D0C"/>
    <w:rsid w:val="00682BFB"/>
    <w:rsid w:val="00683B4E"/>
    <w:rsid w:val="00694AC2"/>
    <w:rsid w:val="006958C0"/>
    <w:rsid w:val="006A5642"/>
    <w:rsid w:val="006A68EF"/>
    <w:rsid w:val="00704258"/>
    <w:rsid w:val="0071149E"/>
    <w:rsid w:val="007164AD"/>
    <w:rsid w:val="0074487F"/>
    <w:rsid w:val="00765A1C"/>
    <w:rsid w:val="007713B1"/>
    <w:rsid w:val="00773251"/>
    <w:rsid w:val="00776F35"/>
    <w:rsid w:val="00784253"/>
    <w:rsid w:val="00784B67"/>
    <w:rsid w:val="007B1869"/>
    <w:rsid w:val="007C0233"/>
    <w:rsid w:val="00846267"/>
    <w:rsid w:val="00892FF1"/>
    <w:rsid w:val="00897E3B"/>
    <w:rsid w:val="008A6530"/>
    <w:rsid w:val="008B2AFE"/>
    <w:rsid w:val="008B6FCC"/>
    <w:rsid w:val="008D73CD"/>
    <w:rsid w:val="008E1834"/>
    <w:rsid w:val="008F6EA0"/>
    <w:rsid w:val="00911C9A"/>
    <w:rsid w:val="00936365"/>
    <w:rsid w:val="0093782A"/>
    <w:rsid w:val="00953B93"/>
    <w:rsid w:val="00962563"/>
    <w:rsid w:val="009648D6"/>
    <w:rsid w:val="009766D9"/>
    <w:rsid w:val="009B322A"/>
    <w:rsid w:val="009C7A2F"/>
    <w:rsid w:val="009D763A"/>
    <w:rsid w:val="009E52CE"/>
    <w:rsid w:val="00A05AE6"/>
    <w:rsid w:val="00A23D1C"/>
    <w:rsid w:val="00A341BC"/>
    <w:rsid w:val="00A37C89"/>
    <w:rsid w:val="00A45C4B"/>
    <w:rsid w:val="00A761F5"/>
    <w:rsid w:val="00A86EAA"/>
    <w:rsid w:val="00A86ECA"/>
    <w:rsid w:val="00A92A4D"/>
    <w:rsid w:val="00A930CA"/>
    <w:rsid w:val="00AA0677"/>
    <w:rsid w:val="00AA0C60"/>
    <w:rsid w:val="00AA4BA8"/>
    <w:rsid w:val="00AB0EE2"/>
    <w:rsid w:val="00AB4034"/>
    <w:rsid w:val="00AE7E77"/>
    <w:rsid w:val="00AF06A9"/>
    <w:rsid w:val="00AF54C9"/>
    <w:rsid w:val="00B03212"/>
    <w:rsid w:val="00B03671"/>
    <w:rsid w:val="00B21E33"/>
    <w:rsid w:val="00B439A3"/>
    <w:rsid w:val="00B658B9"/>
    <w:rsid w:val="00B67934"/>
    <w:rsid w:val="00B951FD"/>
    <w:rsid w:val="00BA561F"/>
    <w:rsid w:val="00BB65C7"/>
    <w:rsid w:val="00BD1D6E"/>
    <w:rsid w:val="00BD1FA4"/>
    <w:rsid w:val="00BF4FB5"/>
    <w:rsid w:val="00C100A8"/>
    <w:rsid w:val="00C257D3"/>
    <w:rsid w:val="00C44A53"/>
    <w:rsid w:val="00C627B3"/>
    <w:rsid w:val="00C72F7A"/>
    <w:rsid w:val="00CB14FA"/>
    <w:rsid w:val="00CC3442"/>
    <w:rsid w:val="00CD2856"/>
    <w:rsid w:val="00CF7690"/>
    <w:rsid w:val="00D126F9"/>
    <w:rsid w:val="00D2110D"/>
    <w:rsid w:val="00D275F0"/>
    <w:rsid w:val="00D317E2"/>
    <w:rsid w:val="00D37D1E"/>
    <w:rsid w:val="00D602DD"/>
    <w:rsid w:val="00D64B50"/>
    <w:rsid w:val="00D70AE6"/>
    <w:rsid w:val="00D70E0A"/>
    <w:rsid w:val="00D922A1"/>
    <w:rsid w:val="00D9595D"/>
    <w:rsid w:val="00D95FB8"/>
    <w:rsid w:val="00D96174"/>
    <w:rsid w:val="00DA7735"/>
    <w:rsid w:val="00DB55A8"/>
    <w:rsid w:val="00DB6B87"/>
    <w:rsid w:val="00DB761A"/>
    <w:rsid w:val="00E0032C"/>
    <w:rsid w:val="00E10F06"/>
    <w:rsid w:val="00E71005"/>
    <w:rsid w:val="00E71E3D"/>
    <w:rsid w:val="00E77EDB"/>
    <w:rsid w:val="00E81DF0"/>
    <w:rsid w:val="00EE4DD2"/>
    <w:rsid w:val="00F01B2D"/>
    <w:rsid w:val="00F21F36"/>
    <w:rsid w:val="00F31071"/>
    <w:rsid w:val="00F452DB"/>
    <w:rsid w:val="00F5373F"/>
    <w:rsid w:val="00F630B7"/>
    <w:rsid w:val="00F74A3F"/>
    <w:rsid w:val="00FC3BE1"/>
    <w:rsid w:val="00FD64DE"/>
    <w:rsid w:val="00FE2F7C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BDC2"/>
  <w15:docId w15:val="{73AE63FF-3F55-4864-A631-E43704DF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067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21F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1F36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63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B21E3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B21E3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Andrijana</cp:lastModifiedBy>
  <cp:revision>113</cp:revision>
  <cp:lastPrinted>2024-07-14T17:18:00Z</cp:lastPrinted>
  <dcterms:created xsi:type="dcterms:W3CDTF">2024-07-15T10:47:00Z</dcterms:created>
  <dcterms:modified xsi:type="dcterms:W3CDTF">2026-03-04T09:48:00Z</dcterms:modified>
</cp:coreProperties>
</file>